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5A1" w:rsidRDefault="004625A1" w:rsidP="004625A1">
      <w:pPr>
        <w:spacing w:line="580" w:lineRule="exact"/>
        <w:rPr>
          <w:rFonts w:ascii="宋体" w:hAnsi="宋体" w:cs="宋体"/>
          <w:b/>
          <w:bCs/>
          <w:sz w:val="32"/>
          <w:szCs w:val="32"/>
        </w:rPr>
      </w:pPr>
      <w:r>
        <w:rPr>
          <w:rFonts w:ascii="黑体" w:eastAsia="黑体" w:hAnsi="黑体" w:cs="黑体" w:hint="eastAsia"/>
          <w:color w:val="000000"/>
          <w:sz w:val="32"/>
          <w:szCs w:val="32"/>
          <w:shd w:val="clear" w:color="auto" w:fill="FFFFFF"/>
        </w:rPr>
        <w:t>附件2</w:t>
      </w:r>
    </w:p>
    <w:p w:rsidR="004625A1" w:rsidRDefault="004625A1" w:rsidP="004625A1">
      <w:pPr>
        <w:spacing w:line="300" w:lineRule="exact"/>
      </w:pPr>
    </w:p>
    <w:p w:rsidR="004625A1" w:rsidRDefault="004625A1" w:rsidP="004625A1">
      <w:pPr>
        <w:kinsoku w:val="0"/>
        <w:autoSpaceDE w:val="0"/>
        <w:autoSpaceDN w:val="0"/>
        <w:adjustRightInd w:val="0"/>
        <w:snapToGrid w:val="0"/>
        <w:spacing w:line="580" w:lineRule="exact"/>
        <w:jc w:val="center"/>
        <w:textAlignment w:val="baseline"/>
        <w:rPr>
          <w:rFonts w:ascii="方正小标宋_GBK" w:eastAsia="方正小标宋_GBK" w:hAnsi="方正小标宋_GBK" w:cs="方正小标宋_GBK" w:hint="eastAsia"/>
          <w:color w:val="000000"/>
          <w:spacing w:val="-7"/>
          <w:sz w:val="40"/>
          <w:szCs w:val="40"/>
        </w:rPr>
      </w:pPr>
      <w:r>
        <w:rPr>
          <w:rFonts w:ascii="方正小标宋_GBK" w:eastAsia="方正小标宋_GBK" w:hAnsi="方正小标宋_GBK" w:cs="方正小标宋_GBK" w:hint="eastAsia"/>
          <w:color w:val="000000"/>
          <w:spacing w:val="-7"/>
          <w:sz w:val="40"/>
          <w:szCs w:val="40"/>
        </w:rPr>
        <w:t>药品告诫信管理规程</w:t>
      </w:r>
    </w:p>
    <w:p w:rsidR="004625A1" w:rsidRDefault="004625A1" w:rsidP="004625A1">
      <w:pPr>
        <w:spacing w:line="300" w:lineRule="exact"/>
      </w:pP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1 目的</w:t>
      </w:r>
    </w:p>
    <w:p w:rsidR="004625A1" w:rsidRDefault="004625A1" w:rsidP="004625A1">
      <w:pPr>
        <w:pStyle w:val="a6"/>
        <w:spacing w:line="580" w:lineRule="exact"/>
        <w:ind w:firstLineChars="200" w:firstLine="64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为规范药品生产检查告诫行政处理措施监管以及告诫信发布管理活动，制定本规程。</w:t>
      </w: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2 适用范围</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药品生产检查中对违规和背离GMP规范行为采取告诫监管措施的，除遵循《药品生产检查行政处理措施管理规定》一般要求外，告诫信发布条件、发布程序、办结条件和办结程序适用本规程。</w:t>
      </w: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3 引用文件</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shd w:val="clear" w:color="auto" w:fill="FFFFFF"/>
        </w:rPr>
        <w:t>.1《中华人民共和国药品管理法》</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3.2《中华人民共和国疫苗管理法》</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3.3《行政处罚法》</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3.4《中华人民共和国药品管理法实施条例》</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shd w:val="clear" w:color="auto" w:fill="FFFFFF"/>
        </w:rPr>
        <w:t>3.5《药品生产监督管理办法》</w:t>
      </w:r>
    </w:p>
    <w:p w:rsidR="004625A1" w:rsidRDefault="004625A1" w:rsidP="004625A1">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3.6《药品检查管理办法》（试行）</w:t>
      </w: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4 术语及定义</w:t>
      </w:r>
    </w:p>
    <w:p w:rsidR="004625A1" w:rsidRDefault="004625A1" w:rsidP="004625A1">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napToGrid w:val="0"/>
          <w:color w:val="000000"/>
          <w:kern w:val="0"/>
          <w:sz w:val="32"/>
          <w:szCs w:val="32"/>
          <w:shd w:val="clear" w:color="auto" w:fill="FFFFFF"/>
          <w:lang w:bidi="ar"/>
        </w:rPr>
        <w:t>4.1告诫信：本规程是指药品监督管理部门在药品生产监督管理和检查活动中，对有证据证明药品上市许可持有人、药品生产企业或关键人员（以下简称药品生产企业或当事人）可能存在药品安全隐患的，依法发出的信函。告诫信是一种行政劝诫建议，应当载明存在缺陷、问题和限期整改要求。</w:t>
      </w: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lastRenderedPageBreak/>
        <w:t>5 职责</w:t>
      </w:r>
    </w:p>
    <w:p w:rsidR="004625A1" w:rsidRDefault="004625A1" w:rsidP="004625A1">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5.1 药品审评检查中心负责提供综合评定报告，可基于风险提出采取告诫措施的建议；</w:t>
      </w:r>
    </w:p>
    <w:p w:rsidR="004625A1" w:rsidRDefault="004625A1" w:rsidP="004625A1">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5.2省药监局各分局负责监督实施省药监局对持有人、药品生产企业采取的行政处理措施；可基于风险并根据日常监督检查结果作出采取告诫措施的决定；</w:t>
      </w:r>
    </w:p>
    <w:p w:rsidR="004625A1" w:rsidRDefault="004625A1" w:rsidP="004625A1">
      <w:pPr>
        <w:pStyle w:val="a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5.3 药品生产监管处负责组织召开合规审核会议，必要时邀请相关部门进行专题会商；起草处置通知，报分管局领导审批后，组织实施告诫措施。</w:t>
      </w:r>
    </w:p>
    <w:p w:rsidR="004625A1" w:rsidRDefault="004625A1" w:rsidP="004625A1">
      <w:pPr>
        <w:pStyle w:val="a0"/>
        <w:spacing w:line="580" w:lineRule="exact"/>
        <w:ind w:firstLine="0"/>
        <w:rPr>
          <w:rFonts w:ascii="黑体" w:eastAsia="黑体" w:hAnsi="黑体" w:cs="黑体" w:hint="eastAsia"/>
          <w:color w:val="000000"/>
          <w:sz w:val="32"/>
          <w:szCs w:val="32"/>
        </w:rPr>
      </w:pPr>
      <w:r>
        <w:rPr>
          <w:rFonts w:ascii="黑体" w:eastAsia="黑体" w:hAnsi="黑体" w:cs="黑体" w:hint="eastAsia"/>
          <w:color w:val="000000"/>
          <w:sz w:val="32"/>
          <w:szCs w:val="32"/>
        </w:rPr>
        <w:t>6 管理要求</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rPr>
        <w:t>6.1</w:t>
      </w:r>
      <w:r>
        <w:rPr>
          <w:rFonts w:ascii="仿宋_GB2312" w:eastAsia="仿宋_GB2312" w:hAnsi="仿宋_GB2312" w:cs="仿宋_GB2312" w:hint="eastAsia"/>
          <w:color w:val="000000"/>
          <w:sz w:val="32"/>
          <w:szCs w:val="32"/>
          <w:shd w:val="clear" w:color="auto" w:fill="FFFFFF"/>
        </w:rPr>
        <w:t>发布告诫信时，应当考虑的因素：</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6.1.1告诫信是药品监管部门为防止药品生产企业进一步发生违法行为而依法采取的监督管理措施之一，可以单独发布，也可以依据风险相继或同时采取责任约谈、限期整改，暂停生产、销售、使用、批签发以及药品召回等其他风险控制措施。</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 xml:space="preserve">6.1.2告诫信等行政处理措施不是行政处罚或刑事处罚前置条件，对涉嫌违法违规行为应当直接给予行政处罚。构成犯罪的，依法追究刑事责任，不得以告诫信等行政处理措施替代行政处罚甚至刑罚。 </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6.1.3在立案调查或采取行政处罚等监管措施时，一般不发布告诫信，但可以同时采取暂停生产、销售、使用、批签发、出口以及药品召回等其他风险控制措施。</w:t>
      </w:r>
    </w:p>
    <w:p w:rsidR="004625A1" w:rsidRDefault="004625A1" w:rsidP="004625A1">
      <w:pPr>
        <w:pStyle w:val="3"/>
        <w:keepLines w:val="0"/>
        <w:spacing w:line="580" w:lineRule="exact"/>
        <w:ind w:firstLine="640"/>
        <w:rPr>
          <w:rFonts w:ascii="仿宋_GB2312" w:eastAsia="仿宋_GB2312" w:hAnsi="仿宋_GB2312" w:cs="仿宋_GB2312" w:hint="eastAsia"/>
          <w:color w:val="000000"/>
          <w:szCs w:val="32"/>
        </w:rPr>
      </w:pPr>
      <w:r>
        <w:rPr>
          <w:rFonts w:ascii="仿宋_GB2312" w:eastAsia="仿宋_GB2312" w:hAnsi="仿宋_GB2312" w:cs="仿宋_GB2312" w:hint="eastAsia"/>
          <w:snapToGrid w:val="0"/>
          <w:color w:val="000000"/>
          <w:kern w:val="0"/>
          <w:szCs w:val="32"/>
          <w:shd w:val="clear" w:color="auto" w:fill="FFFFFF"/>
          <w:lang w:bidi="ar"/>
        </w:rPr>
        <w:t>6.2</w:t>
      </w:r>
      <w:r>
        <w:rPr>
          <w:rFonts w:ascii="仿宋_GB2312" w:eastAsia="仿宋_GB2312" w:hAnsi="仿宋_GB2312" w:cs="仿宋_GB2312" w:hint="eastAsia"/>
          <w:snapToGrid w:val="0"/>
          <w:color w:val="000000"/>
          <w:spacing w:val="-6"/>
          <w:kern w:val="0"/>
          <w:szCs w:val="32"/>
          <w:shd w:val="clear" w:color="auto" w:fill="FFFFFF"/>
          <w:lang w:bidi="ar"/>
        </w:rPr>
        <w:t>有以下情形之一的，药品监督管理部门应当发出告诫</w:t>
      </w:r>
      <w:r>
        <w:rPr>
          <w:rFonts w:ascii="仿宋_GB2312" w:eastAsia="仿宋_GB2312" w:hAnsi="仿宋_GB2312" w:cs="仿宋_GB2312" w:hint="eastAsia"/>
          <w:snapToGrid w:val="0"/>
          <w:color w:val="000000"/>
          <w:spacing w:val="-6"/>
          <w:kern w:val="0"/>
          <w:szCs w:val="32"/>
          <w:shd w:val="clear" w:color="auto" w:fill="FFFFFF"/>
          <w:lang w:bidi="ar"/>
        </w:rPr>
        <w:lastRenderedPageBreak/>
        <w:t>信：</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（1）检查发现严重缺陷，或多项主要缺陷，或多项关联缺陷且待整改后评定认为存在质量管理体系系统性问题的；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（2）检查中发现轻微违法违规行为或背离GMP规范需给予限期改正等情节较轻情形；</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（3）药品生产企业对此前检查中发现的多项缺陷未按要求进行整改的，或对存在的安全隐患长期未采取有效纠正预防措施的；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（4）药品生产企业对检查中发现的有风险隐患的药品应当主动召回而未召回的；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（5）药品生产管理、质量控制、物料管理数据可靠性问题，未发现数据造假但数据和记录真实性较差的；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w:t>
      </w:r>
      <w:r>
        <w:rPr>
          <w:rFonts w:ascii="仿宋_GB2312" w:eastAsia="仿宋_GB2312" w:hAnsi="仿宋_GB2312" w:cs="仿宋_GB2312" w:hint="eastAsia"/>
          <w:snapToGrid w:val="0"/>
          <w:color w:val="000000"/>
          <w:spacing w:val="-11"/>
          <w:kern w:val="0"/>
          <w:sz w:val="32"/>
          <w:szCs w:val="32"/>
          <w:shd w:val="clear" w:color="auto" w:fill="FFFFFF"/>
          <w:lang w:bidi="ar"/>
        </w:rPr>
        <w:t>药品生产企业管理人员质量管理能力和法规意识薄弱的；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（7）检查中不配合检查人员工作，造成不良影响的；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（8）根据药品监督检查历史数据和风险控制经验等，对尚不影响药物安全性，有效性的轻微违法行为，经药品监督管理部门认定需要发出的告诫信其他情形。</w:t>
      </w:r>
    </w:p>
    <w:p w:rsidR="004625A1" w:rsidRDefault="004625A1" w:rsidP="004625A1">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6.3 有以下情形之一的，不应当发布告诫信而直接采取其他风险控制措施或其他监管措施：</w:t>
      </w:r>
    </w:p>
    <w:p w:rsidR="004625A1" w:rsidRDefault="004625A1" w:rsidP="004625A1">
      <w:pPr>
        <w:numPr>
          <w:ilvl w:val="0"/>
          <w:numId w:val="1"/>
        </w:num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违反《药品管理法》涉嫌构成犯罪，依法追究刑事责任的；</w:t>
      </w:r>
    </w:p>
    <w:p w:rsidR="004625A1" w:rsidRDefault="004625A1" w:rsidP="004625A1">
      <w:pPr>
        <w:numPr>
          <w:ilvl w:val="0"/>
          <w:numId w:val="1"/>
        </w:num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已有证据证明违反《药品管理法》，依法应当给予行政处罚的；</w:t>
      </w:r>
    </w:p>
    <w:p w:rsidR="004625A1" w:rsidRDefault="004625A1" w:rsidP="004625A1">
      <w:pPr>
        <w:numPr>
          <w:ilvl w:val="0"/>
          <w:numId w:val="1"/>
        </w:num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lastRenderedPageBreak/>
        <w:t>上市放行或所生产经营的药品已造成患者健康伤害的；</w:t>
      </w:r>
    </w:p>
    <w:p w:rsidR="004625A1" w:rsidRDefault="004625A1" w:rsidP="004625A1">
      <w:pPr>
        <w:pStyle w:val="3"/>
        <w:keepLines w:val="0"/>
        <w:spacing w:line="580" w:lineRule="exact"/>
        <w:ind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（4）药品生产经营专项检查方案已经通告的违法违规行为</w:t>
      </w:r>
      <w:r>
        <w:rPr>
          <w:rFonts w:ascii="仿宋_GB2312" w:eastAsia="仿宋_GB2312" w:hAnsi="仿宋_GB2312" w:cs="仿宋_GB2312" w:hint="eastAsia"/>
          <w:color w:val="000000"/>
          <w:szCs w:val="32"/>
          <w:shd w:val="clear" w:color="auto" w:fill="FFFFFF"/>
        </w:rPr>
        <w:t>或安全问题和隐患，不再发布告诫信，但可以视情发布风险提示函作为双向预警信息一部分。</w:t>
      </w:r>
    </w:p>
    <w:p w:rsidR="004625A1" w:rsidRDefault="004625A1" w:rsidP="004625A1">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（5）在两年内对存在的类似问题或缺陷已经发布告诫信，可以升级行政处理措施，包括采取暂停风险品种生产、销售、使用，或责令药品召回等其他监督管理措施的。</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6.4告诫信格式</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告诫信格式要求描述，应简明清晰、证据确凿、缺陷风险分级适当。告诫信格式、内容依据检查结果可作适当调整。告诫信撰写格式至少包括以下内容：</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（1）标题：告诫信；</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（2）被检查企业（单位），必要时可明确相关责任人员；</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（3）检查派出机构、时间、检查类型、检查场地、检查主要内容或质量管理系统；</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（4）检查发现的问题和缺陷；</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（5）限期整改时限：限期内书面回复预防纠正措施及相关问题答复；</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告诫信声明信息，例如：此告诫信中所提到的问题及缺陷并未涵盖你公司（单位）存在的所有问题和缺陷，你公司应针对此次检查中发现的问题及实际存在的风险进行调查并整改，严格遵守《药品管理法》及其有关法规，按照药品生产质量管理规范（和**标准）开展药品生产活动，认</w:t>
      </w:r>
      <w:r>
        <w:rPr>
          <w:rFonts w:ascii="仿宋_GB2312" w:eastAsia="仿宋_GB2312" w:hAnsi="仿宋_GB2312" w:cs="仿宋_GB2312" w:hint="eastAsia"/>
          <w:color w:val="000000"/>
          <w:sz w:val="32"/>
          <w:szCs w:val="32"/>
        </w:rPr>
        <w:lastRenderedPageBreak/>
        <w:t xml:space="preserve">真履行药品生产活动参与方相关责任。  </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如未立即采取措施预防和纠正所述不合规行为，将事先不通知采取其他行政处理措施。</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(7)发出单位和时间等。</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6.5 告诫信发布程序</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r>
        <w:rPr>
          <w:rFonts w:ascii="仿宋_GB2312" w:eastAsia="仿宋_GB2312" w:hAnsi="仿宋_GB2312" w:cs="仿宋_GB2312" w:hint="eastAsia"/>
          <w:color w:val="000000"/>
          <w:szCs w:val="32"/>
        </w:rPr>
        <w:t>6.5.1 审核发布。实施告诫的药品监督管理部门依据药品检查报告和综合评定报告，按照格式要求撰写告诫信，经审核批准后，制作告诫信。</w:t>
      </w:r>
    </w:p>
    <w:p w:rsidR="004625A1" w:rsidRDefault="004625A1" w:rsidP="004625A1">
      <w:pPr>
        <w:pStyle w:val="a0"/>
        <w:spacing w:line="580" w:lineRule="exact"/>
        <w:ind w:firstLineChars="300" w:firstLine="96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6.5.2 告诫信一般应当公开发布。如不公开发布应当根据合规审核会议决定执行。</w:t>
      </w:r>
    </w:p>
    <w:p w:rsidR="004625A1" w:rsidRDefault="004625A1" w:rsidP="004625A1">
      <w:pPr>
        <w:pStyle w:val="a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6.5.3告诫信根据告诫对象不同，可以是药品生产活动相关企业或单位，也可以是相关企业或单位责任人员。如系药品委托生产，告诫信应当同时发给药品上市许可持有人和受托生产企业。并告知可能的行政处理措施升级。</w:t>
      </w:r>
    </w:p>
    <w:p w:rsidR="004625A1" w:rsidRDefault="004625A1" w:rsidP="004625A1">
      <w:pPr>
        <w:pStyle w:val="a0"/>
        <w:spacing w:line="580" w:lineRule="exact"/>
        <w:ind w:firstLineChars="200" w:firstLine="640"/>
        <w:rPr>
          <w:rFonts w:hint="eastAsia"/>
          <w:color w:val="000000"/>
        </w:rPr>
      </w:pPr>
      <w:r>
        <w:rPr>
          <w:rFonts w:ascii="仿宋_GB2312" w:eastAsia="仿宋_GB2312" w:hAnsi="仿宋_GB2312" w:cs="仿宋_GB2312" w:hint="eastAsia"/>
          <w:color w:val="000000"/>
          <w:sz w:val="32"/>
          <w:szCs w:val="32"/>
          <w:shd w:val="clear" w:color="auto" w:fill="FFFFFF"/>
        </w:rPr>
        <w:t>6.5.4如专项检查发现普遍存在的缺陷和问题，且安全隐患风险较低的，则应当发布风险提示函。</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r>
        <w:rPr>
          <w:rFonts w:ascii="仿宋_GB2312" w:eastAsia="仿宋_GB2312" w:hAnsi="仿宋_GB2312" w:cs="仿宋_GB2312" w:hint="eastAsia"/>
          <w:color w:val="000000"/>
          <w:szCs w:val="32"/>
        </w:rPr>
        <w:t>6.5.5 收到告诫信药品生产企业或当事人应当主动履行整改义务和责任，及时向药品审评检查中心提交预防纠正措施报告。</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r>
        <w:rPr>
          <w:rFonts w:ascii="仿宋_GB2312" w:eastAsia="仿宋_GB2312" w:hAnsi="仿宋_GB2312" w:cs="仿宋_GB2312" w:hint="eastAsia"/>
          <w:color w:val="000000"/>
          <w:szCs w:val="32"/>
        </w:rPr>
        <w:t>6.5.6 经药品审评检查中心再次提交综合评定报告，认为风险消除后，由药品生产监管处审核同意后，药品监督管理部门应当向当事人下发《湖北省药品生产活动行政处理措施解除决定书》（见附件2-2），及时解除控制措施并向社会及时公布结果。包括对失效的告诫信等公开信息进行标记或从</w:t>
      </w:r>
      <w:r>
        <w:rPr>
          <w:rFonts w:ascii="仿宋_GB2312" w:eastAsia="仿宋_GB2312" w:hAnsi="仿宋_GB2312" w:cs="仿宋_GB2312" w:hint="eastAsia"/>
          <w:color w:val="000000"/>
          <w:szCs w:val="32"/>
        </w:rPr>
        <w:lastRenderedPageBreak/>
        <w:t xml:space="preserve">官网撤除。 </w:t>
      </w:r>
    </w:p>
    <w:p w:rsidR="004625A1" w:rsidRDefault="004625A1" w:rsidP="004625A1">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7 相关记录</w:t>
      </w:r>
    </w:p>
    <w:p w:rsidR="004625A1" w:rsidRDefault="004625A1" w:rsidP="004625A1">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7.1《湖北省药品生产活动行政处理措施解除决定书》</w:t>
      </w:r>
    </w:p>
    <w:p w:rsidR="004625A1" w:rsidRDefault="004625A1" w:rsidP="004625A1">
      <w:pPr>
        <w:spacing w:line="580" w:lineRule="exact"/>
        <w:ind w:firstLineChars="200" w:firstLine="640"/>
        <w:rPr>
          <w:rFonts w:hint="eastAsia"/>
          <w:color w:val="000000"/>
        </w:rPr>
      </w:pPr>
      <w:r>
        <w:rPr>
          <w:rFonts w:ascii="仿宋_GB2312" w:eastAsia="仿宋_GB2312" w:hAnsi="仿宋_GB2312" w:cs="仿宋_GB2312" w:hint="eastAsia"/>
          <w:color w:val="000000"/>
          <w:sz w:val="32"/>
          <w:szCs w:val="32"/>
        </w:rPr>
        <w:t>7.2《湖北省药品生产告诫信》</w:t>
      </w:r>
    </w:p>
    <w:p w:rsidR="004625A1" w:rsidRDefault="004625A1" w:rsidP="004625A1">
      <w:pPr>
        <w:spacing w:line="580" w:lineRule="exact"/>
        <w:rPr>
          <w:rFonts w:ascii="黑体" w:eastAsia="黑体" w:hAnsi="黑体" w:cs="黑体"/>
          <w:color w:val="000000"/>
          <w:sz w:val="32"/>
          <w:szCs w:val="32"/>
        </w:rPr>
      </w:pPr>
      <w:r>
        <w:rPr>
          <w:rFonts w:ascii="黑体" w:eastAsia="黑体" w:hAnsi="黑体" w:cs="黑体" w:hint="eastAsia"/>
          <w:color w:val="000000"/>
          <w:sz w:val="32"/>
          <w:szCs w:val="32"/>
        </w:rPr>
        <w:t>8</w:t>
      </w:r>
      <w:r>
        <w:rPr>
          <w:rFonts w:ascii="黑体" w:eastAsia="黑体" w:hAnsi="黑体" w:cs="黑体"/>
          <w:color w:val="000000"/>
          <w:sz w:val="32"/>
          <w:szCs w:val="32"/>
        </w:rPr>
        <w:t xml:space="preserve"> 附件</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r>
        <w:rPr>
          <w:rFonts w:ascii="仿宋_GB2312" w:eastAsia="仿宋_GB2312" w:hAnsi="仿宋_GB2312" w:cs="仿宋_GB2312" w:hint="eastAsia"/>
          <w:color w:val="000000"/>
          <w:szCs w:val="32"/>
        </w:rPr>
        <w:t>附件2-1  湖北省药品生产告诫信</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r>
        <w:rPr>
          <w:rFonts w:ascii="仿宋_GB2312" w:eastAsia="仿宋_GB2312" w:hAnsi="仿宋_GB2312" w:cs="仿宋_GB2312" w:hint="eastAsia"/>
          <w:color w:val="000000"/>
          <w:szCs w:val="32"/>
        </w:rPr>
        <w:t>附件2-2  湖北省药品生产活动行政处理措施解除决定书</w:t>
      </w:r>
    </w:p>
    <w:p w:rsidR="004625A1" w:rsidRDefault="004625A1" w:rsidP="004625A1">
      <w:pPr>
        <w:spacing w:line="580" w:lineRule="exact"/>
        <w:ind w:firstLineChars="200" w:firstLine="640"/>
        <w:jc w:val="left"/>
        <w:rPr>
          <w:rFonts w:hint="eastAsia"/>
        </w:rPr>
      </w:pPr>
      <w:r>
        <w:rPr>
          <w:rFonts w:ascii="方正仿宋_GBK" w:eastAsia="方正仿宋_GBK" w:hAnsi="方正仿宋_GBK" w:cs="方正仿宋_GBK" w:hint="eastAsia"/>
          <w:color w:val="000000"/>
          <w:sz w:val="32"/>
          <w:szCs w:val="32"/>
        </w:rPr>
        <w:t>附表2-2-1行政处理措施解除决定书送达回执</w:t>
      </w:r>
    </w:p>
    <w:p w:rsidR="004625A1" w:rsidRDefault="004625A1" w:rsidP="004625A1">
      <w:pPr>
        <w:pStyle w:val="3"/>
        <w:keepLines w:val="0"/>
        <w:spacing w:line="580" w:lineRule="exact"/>
        <w:ind w:firstLineChars="200" w:firstLine="640"/>
        <w:rPr>
          <w:rFonts w:ascii="仿宋_GB2312" w:eastAsia="仿宋_GB2312" w:hAnsi="仿宋_GB2312" w:cs="仿宋_GB2312" w:hint="eastAsia"/>
          <w:color w:val="000000"/>
          <w:szCs w:val="32"/>
        </w:rPr>
      </w:pPr>
    </w:p>
    <w:p w:rsidR="004625A1" w:rsidRDefault="004625A1" w:rsidP="004625A1">
      <w:pPr>
        <w:spacing w:line="360" w:lineRule="auto"/>
        <w:ind w:firstLineChars="200" w:firstLine="640"/>
        <w:rPr>
          <w:rFonts w:ascii="方正仿宋_GBK" w:eastAsia="方正仿宋_GBK" w:hAnsi="方正仿宋_GBK" w:cs="方正仿宋_GBK" w:hint="eastAsia"/>
          <w:color w:val="000000"/>
          <w:sz w:val="32"/>
          <w:szCs w:val="32"/>
        </w:rPr>
      </w:pPr>
    </w:p>
    <w:p w:rsidR="004625A1" w:rsidRDefault="004625A1" w:rsidP="004625A1">
      <w:pPr>
        <w:pStyle w:val="a0"/>
        <w:ind w:firstLineChars="200"/>
        <w:rPr>
          <w:rFonts w:hint="eastAsia"/>
        </w:rPr>
      </w:pPr>
    </w:p>
    <w:p w:rsidR="004625A1" w:rsidRDefault="004625A1" w:rsidP="004625A1">
      <w:pPr>
        <w:spacing w:line="580" w:lineRule="exact"/>
        <w:ind w:firstLineChars="200" w:firstLine="640"/>
        <w:rPr>
          <w:rFonts w:ascii="仿宋_GB2312" w:eastAsia="仿宋_GB2312" w:hAnsi="仿宋_GB2312" w:cs="仿宋_GB2312"/>
          <w:color w:val="000000"/>
          <w:sz w:val="32"/>
          <w:szCs w:val="32"/>
        </w:rPr>
      </w:pPr>
    </w:p>
    <w:p w:rsidR="004625A1" w:rsidRDefault="004625A1" w:rsidP="004625A1">
      <w:pPr>
        <w:autoSpaceDE w:val="0"/>
        <w:spacing w:line="580" w:lineRule="exact"/>
        <w:rPr>
          <w:rFonts w:ascii="方正黑体_GBK" w:eastAsia="方正黑体_GBK" w:hAnsi="方正黑体_GBK" w:cs="方正黑体_GBK" w:hint="eastAsia"/>
          <w:color w:val="000000"/>
          <w:sz w:val="32"/>
          <w:szCs w:val="32"/>
        </w:rPr>
      </w:pPr>
      <w:r>
        <w:rPr>
          <w:rFonts w:ascii="仿宋_GB2312" w:eastAsia="仿宋_GB2312" w:hAnsi="仿宋_GB2312" w:cs="仿宋_GB2312" w:hint="eastAsia"/>
          <w:color w:val="000000"/>
          <w:sz w:val="32"/>
          <w:szCs w:val="32"/>
        </w:rPr>
        <w:br w:type="page"/>
      </w:r>
      <w:r>
        <w:rPr>
          <w:rFonts w:ascii="方正黑体_GBK" w:eastAsia="方正黑体_GBK" w:hAnsi="方正黑体_GBK" w:cs="方正黑体_GBK" w:hint="eastAsia"/>
          <w:color w:val="000000"/>
          <w:sz w:val="32"/>
          <w:szCs w:val="32"/>
        </w:rPr>
        <w:lastRenderedPageBreak/>
        <w:t>附件2-1</w:t>
      </w:r>
    </w:p>
    <w:p w:rsidR="004625A1" w:rsidRDefault="004625A1" w:rsidP="004625A1">
      <w:pPr>
        <w:autoSpaceDE w:val="0"/>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湖北省药品生产告诫信</w:t>
      </w:r>
    </w:p>
    <w:p w:rsidR="004625A1" w:rsidRDefault="004625A1" w:rsidP="004625A1">
      <w:pPr>
        <w:autoSpaceDE w:val="0"/>
        <w:spacing w:line="520" w:lineRule="exact"/>
        <w:jc w:val="center"/>
        <w:rPr>
          <w:rFonts w:ascii="CESI仿宋-GB2312" w:hAnsi="CESI仿宋-GB2312" w:cs="宋体" w:hint="eastAsia"/>
          <w:color w:val="000000"/>
          <w:sz w:val="36"/>
          <w:szCs w:val="36"/>
        </w:rPr>
      </w:pPr>
    </w:p>
    <w:p w:rsidR="004625A1" w:rsidRDefault="004625A1" w:rsidP="004625A1">
      <w:pPr>
        <w:autoSpaceDE w:val="0"/>
        <w:snapToGrid w:val="0"/>
        <w:spacing w:line="520" w:lineRule="exact"/>
        <w:jc w:val="lef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4625A1" w:rsidRDefault="004625A1" w:rsidP="004625A1">
      <w:pPr>
        <w:autoSpaceDE w:val="0"/>
        <w:snapToGrid w:val="0"/>
        <w:spacing w:line="520" w:lineRule="exact"/>
        <w:ind w:firstLineChars="200" w:firstLine="576"/>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pacing w:val="-6"/>
          <w:sz w:val="30"/>
          <w:szCs w:val="30"/>
        </w:rPr>
        <w:t>根据××××检查组于×月×日对你公司（单位）×××××开展的检查情况，现将你公司（单位）药品生产存在的风险告诫如下：</w:t>
      </w:r>
    </w:p>
    <w:p w:rsidR="004625A1" w:rsidRDefault="004625A1" w:rsidP="004625A1">
      <w:pPr>
        <w:numPr>
          <w:ilvl w:val="0"/>
          <w:numId w:val="2"/>
        </w:numPr>
        <w:tabs>
          <w:tab w:val="left" w:pos="312"/>
        </w:tabs>
        <w:autoSpaceDE w:val="0"/>
        <w:snapToGrid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4625A1" w:rsidRDefault="004625A1" w:rsidP="004625A1">
      <w:pPr>
        <w:numPr>
          <w:ilvl w:val="0"/>
          <w:numId w:val="2"/>
        </w:numPr>
        <w:tabs>
          <w:tab w:val="left" w:pos="312"/>
        </w:tabs>
        <w:autoSpaceDE w:val="0"/>
        <w:snapToGrid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4625A1" w:rsidRDefault="004625A1" w:rsidP="004625A1">
      <w:pPr>
        <w:numPr>
          <w:ilvl w:val="0"/>
          <w:numId w:val="2"/>
        </w:numPr>
        <w:tabs>
          <w:tab w:val="left" w:pos="312"/>
        </w:tabs>
        <w:autoSpaceDE w:val="0"/>
        <w:snapToGrid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4625A1" w:rsidRDefault="004625A1" w:rsidP="004625A1">
      <w:pPr>
        <w:autoSpaceDE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请你公司（单位）15个工作日内根据所提风险书面回复预防纠正措施及相关问题答复。</w:t>
      </w:r>
    </w:p>
    <w:p w:rsidR="004625A1" w:rsidRDefault="004625A1" w:rsidP="004625A1">
      <w:pPr>
        <w:autoSpaceDE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此告诫信中所提到的问题及缺陷并未涵盖你公司（单位）存在的所有问题和缺陷，你公司应针对此次检查中发现的问题及实际存在的风险进行调查并整改，严格遵守《药品管理法》及其有关法规，按照药品生产质量管理规范（和**标准）开展药品生产活动，认真履行药品生产活动参与方相关责任。</w:t>
      </w:r>
    </w:p>
    <w:p w:rsidR="004625A1" w:rsidRDefault="004625A1" w:rsidP="004625A1">
      <w:pPr>
        <w:autoSpaceDE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如未立即采取措施预防和纠正所述不合规行为，我局将事先不通知采取其他行政处理措施。</w:t>
      </w:r>
    </w:p>
    <w:p w:rsidR="004625A1" w:rsidRDefault="004625A1" w:rsidP="004625A1">
      <w:pPr>
        <w:autoSpaceDE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联系人：××××   联系电话：×××</w:t>
      </w:r>
    </w:p>
    <w:p w:rsidR="004625A1" w:rsidRDefault="004625A1" w:rsidP="004625A1">
      <w:pPr>
        <w:autoSpaceDE w:val="0"/>
        <w:spacing w:line="52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 xml:space="preserve"> </w:t>
      </w:r>
    </w:p>
    <w:p w:rsidR="004625A1" w:rsidRDefault="004625A1" w:rsidP="004625A1">
      <w:pPr>
        <w:autoSpaceDE w:val="0"/>
        <w:spacing w:line="42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××药品监督管理局</w:t>
      </w:r>
    </w:p>
    <w:p w:rsidR="004625A1" w:rsidRDefault="004625A1" w:rsidP="004625A1">
      <w:pPr>
        <w:autoSpaceDE w:val="0"/>
        <w:spacing w:line="42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（印 章）</w:t>
      </w:r>
    </w:p>
    <w:p w:rsidR="004625A1" w:rsidRDefault="004625A1" w:rsidP="004625A1">
      <w:pPr>
        <w:autoSpaceDE w:val="0"/>
        <w:spacing w:line="42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××××年××月××日</w:t>
      </w:r>
    </w:p>
    <w:p w:rsidR="004625A1" w:rsidRDefault="004625A1" w:rsidP="004625A1">
      <w:pPr>
        <w:autoSpaceDE w:val="0"/>
        <w:spacing w:line="520" w:lineRule="exact"/>
        <w:ind w:firstLineChars="1181" w:firstLine="3543"/>
        <w:jc w:val="center"/>
        <w:rPr>
          <w:rFonts w:ascii="CESI仿宋-GB2312" w:hAnsi="CESI仿宋-GB2312" w:cs="宋体" w:hint="eastAsia"/>
          <w:color w:val="000000"/>
          <w:sz w:val="30"/>
          <w:szCs w:val="30"/>
        </w:rPr>
      </w:pPr>
    </w:p>
    <w:p w:rsidR="004625A1" w:rsidRDefault="004625A1" w:rsidP="004625A1">
      <w:pPr>
        <w:spacing w:line="520" w:lineRule="exact"/>
        <w:jc w:val="left"/>
        <w:rPr>
          <w:rFonts w:ascii="CESI仿宋-GB2312" w:hAnsi="CESI仿宋-GB2312" w:cs="宋体" w:hint="eastAsia"/>
          <w:color w:val="000000"/>
          <w:sz w:val="30"/>
          <w:szCs w:val="30"/>
        </w:rPr>
      </w:pPr>
      <w:r>
        <w:rPr>
          <w:rFonts w:ascii="CESI仿宋-GB2312" w:hAnsi="CESI仿宋-GB2312" w:cs="宋体"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CESI仿宋-GB2312" w:hAnsi="CESI仿宋-GB2312" w:cs="宋体" w:hint="eastAsia"/>
          <w:color w:val="000000"/>
          <w:sz w:val="30"/>
          <w:szCs w:val="30"/>
        </w:rPr>
        <w:fldChar w:fldCharType="separate"/>
      </w:r>
      <w:r>
        <w:rPr>
          <w:rFonts w:ascii="CESI仿宋-GB2312" w:hAnsi="CESI仿宋-GB2312" w:cs="宋体" w:hint="eastAsia"/>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wpsD86B" style="width:437pt;height:1.65pt">
            <v:imagedata r:id="rId7" r:href="rId8"/>
          </v:shape>
        </w:pict>
      </w:r>
      <w:r>
        <w:rPr>
          <w:rFonts w:ascii="CESI仿宋-GB2312" w:hAnsi="CESI仿宋-GB2312" w:cs="宋体" w:hint="eastAsia"/>
          <w:color w:val="000000"/>
          <w:sz w:val="30"/>
          <w:szCs w:val="30"/>
        </w:rPr>
        <w:fldChar w:fldCharType="end"/>
      </w:r>
    </w:p>
    <w:p w:rsidR="004625A1" w:rsidRDefault="004625A1" w:rsidP="004625A1">
      <w:pPr>
        <w:spacing w:line="520" w:lineRule="exac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一式×份，×份送达（包括持有人和药品生产企业），一份归档。</w:t>
      </w:r>
    </w:p>
    <w:p w:rsidR="004625A1" w:rsidRDefault="004625A1" w:rsidP="004625A1">
      <w:pPr>
        <w:jc w:val="left"/>
        <w:rPr>
          <w:rFonts w:ascii="方正黑体_GBK" w:eastAsia="方正黑体_GBK" w:hAnsi="方正黑体_GBK" w:cs="方正黑体_GBK" w:hint="eastAsia"/>
          <w:color w:val="000000"/>
          <w:sz w:val="32"/>
          <w:szCs w:val="32"/>
        </w:rPr>
      </w:pPr>
      <w:r>
        <w:rPr>
          <w:rFonts w:ascii="仿宋_GB2312" w:eastAsia="仿宋_GB2312" w:hAnsi="仿宋_GB2312" w:cs="仿宋_GB2312" w:hint="eastAsia"/>
          <w:color w:val="000000"/>
          <w:sz w:val="32"/>
          <w:szCs w:val="32"/>
        </w:rPr>
        <w:br w:type="page"/>
      </w:r>
      <w:r>
        <w:rPr>
          <w:rFonts w:ascii="方正黑体_GBK" w:eastAsia="方正黑体_GBK" w:hAnsi="方正黑体_GBK" w:cs="方正黑体_GBK" w:hint="eastAsia"/>
          <w:color w:val="000000"/>
          <w:sz w:val="32"/>
          <w:szCs w:val="32"/>
        </w:rPr>
        <w:lastRenderedPageBreak/>
        <w:t>附件2-2</w:t>
      </w:r>
    </w:p>
    <w:p w:rsidR="004625A1" w:rsidRDefault="004625A1" w:rsidP="004625A1">
      <w:pPr>
        <w:jc w:val="left"/>
        <w:rPr>
          <w:rFonts w:ascii="方正黑体_GBK" w:eastAsia="方正黑体_GBK" w:hAnsi="方正黑体_GBK" w:cs="方正黑体_GBK" w:hint="eastAsia"/>
          <w:color w:val="000000"/>
          <w:sz w:val="32"/>
          <w:szCs w:val="32"/>
        </w:rPr>
      </w:pPr>
    </w:p>
    <w:p w:rsidR="004625A1" w:rsidRDefault="004625A1" w:rsidP="004625A1">
      <w:pPr>
        <w:autoSpaceDE w:val="0"/>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湖北省药品生产活动行政处理措施解除决定书</w:t>
      </w:r>
    </w:p>
    <w:p w:rsidR="004625A1" w:rsidRDefault="004625A1" w:rsidP="004625A1">
      <w:pPr>
        <w:spacing w:line="360" w:lineRule="auto"/>
        <w:ind w:firstLineChars="200" w:firstLine="620"/>
        <w:jc w:val="center"/>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鄂药监生行解〔20××〕××号</w:t>
      </w:r>
    </w:p>
    <w:p w:rsidR="004625A1" w:rsidRDefault="004625A1" w:rsidP="004625A1">
      <w:pPr>
        <w:spacing w:line="360" w:lineRule="auto"/>
        <w:ind w:firstLineChars="200" w:firstLine="620"/>
        <w:jc w:val="center"/>
        <w:rPr>
          <w:rFonts w:ascii="宋体" w:hAnsi="宋体" w:cs="宋体" w:hint="eastAsia"/>
          <w:color w:val="000000"/>
          <w:spacing w:val="5"/>
          <w:sz w:val="30"/>
          <w:szCs w:val="30"/>
        </w:rPr>
      </w:pPr>
    </w:p>
    <w:p w:rsidR="004625A1" w:rsidRDefault="004625A1" w:rsidP="004625A1">
      <w:pPr>
        <w:spacing w:line="360" w:lineRule="auto"/>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w:t>
      </w:r>
    </w:p>
    <w:p w:rsidR="004625A1" w:rsidRDefault="004625A1" w:rsidP="004625A1">
      <w:pPr>
        <w:spacing w:line="360" w:lineRule="auto"/>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本局于××××年××月××日作出××××行政处理措施决定（</w:t>
      </w:r>
      <w:r>
        <w:rPr>
          <w:rFonts w:ascii="方正仿宋_GBK" w:eastAsia="方正仿宋_GBK" w:hAnsi="方正仿宋_GBK" w:cs="方正仿宋_GBK" w:hint="eastAsia"/>
          <w:i/>
          <w:iCs/>
          <w:color w:val="000000"/>
          <w:spacing w:val="5"/>
          <w:sz w:val="30"/>
          <w:szCs w:val="30"/>
        </w:rPr>
        <w:t>标注××公告或书面通知编号</w:t>
      </w:r>
      <w:r>
        <w:rPr>
          <w:rFonts w:ascii="方正仿宋_GBK" w:eastAsia="方正仿宋_GBK" w:hAnsi="方正仿宋_GBK" w:cs="方正仿宋_GBK" w:hint="eastAsia"/>
          <w:color w:val="000000"/>
          <w:spacing w:val="5"/>
          <w:sz w:val="30"/>
          <w:szCs w:val="30"/>
        </w:rPr>
        <w:t>），经综合评定和合规审核，依据××××××的规定，本局决定自××××年××月××日起予以解除行政处理措施。</w:t>
      </w:r>
    </w:p>
    <w:p w:rsidR="004625A1" w:rsidRDefault="004625A1" w:rsidP="004625A1">
      <w:pPr>
        <w:spacing w:line="360" w:lineRule="auto"/>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联系人：××××；联系电话：××××。</w:t>
      </w:r>
    </w:p>
    <w:p w:rsidR="004625A1" w:rsidRDefault="004625A1" w:rsidP="004625A1">
      <w:pPr>
        <w:spacing w:line="360" w:lineRule="auto"/>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4625A1" w:rsidRDefault="004625A1" w:rsidP="004625A1">
      <w:pPr>
        <w:spacing w:line="360" w:lineRule="auto"/>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4625A1" w:rsidRDefault="004625A1" w:rsidP="004625A1">
      <w:pPr>
        <w:spacing w:line="360" w:lineRule="auto"/>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4625A1" w:rsidRDefault="004625A1" w:rsidP="004625A1">
      <w:pPr>
        <w:spacing w:line="500" w:lineRule="exact"/>
        <w:ind w:firstLineChars="1354" w:firstLine="4197"/>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××××药品监督管理局</w:t>
      </w:r>
    </w:p>
    <w:p w:rsidR="004625A1" w:rsidRDefault="004625A1" w:rsidP="004625A1">
      <w:pPr>
        <w:spacing w:line="500" w:lineRule="exact"/>
        <w:ind w:firstLineChars="1652" w:firstLine="5121"/>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（印 章）</w:t>
      </w:r>
    </w:p>
    <w:p w:rsidR="004625A1" w:rsidRDefault="004625A1" w:rsidP="004625A1">
      <w:pPr>
        <w:spacing w:line="500" w:lineRule="exact"/>
        <w:ind w:firstLineChars="1354" w:firstLine="4197"/>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××××年××月××日</w:t>
      </w:r>
    </w:p>
    <w:p w:rsidR="004625A1" w:rsidRDefault="004625A1" w:rsidP="004625A1">
      <w:pPr>
        <w:spacing w:line="360" w:lineRule="auto"/>
        <w:rPr>
          <w:rFonts w:ascii="宋体" w:hAnsi="宋体" w:cs="宋体" w:hint="eastAsia"/>
          <w:color w:val="000000"/>
          <w:spacing w:val="5"/>
          <w:sz w:val="30"/>
          <w:szCs w:val="30"/>
        </w:rPr>
      </w:pPr>
    </w:p>
    <w:p w:rsidR="004625A1" w:rsidRDefault="004625A1" w:rsidP="004625A1">
      <w:pPr>
        <w:spacing w:line="360" w:lineRule="auto"/>
        <w:rPr>
          <w:rFonts w:ascii="宋体" w:hAnsi="宋体" w:cs="宋体" w:hint="eastAsia"/>
          <w:color w:val="000000"/>
          <w:spacing w:val="5"/>
          <w:sz w:val="30"/>
          <w:szCs w:val="30"/>
        </w:rPr>
      </w:pPr>
    </w:p>
    <w:p w:rsidR="004625A1" w:rsidRDefault="004625A1" w:rsidP="004625A1">
      <w:pPr>
        <w:spacing w:line="360" w:lineRule="auto"/>
        <w:rPr>
          <w:rFonts w:ascii="宋体" w:hAnsi="宋体" w:cs="宋体" w:hint="eastAsia"/>
          <w:color w:val="000000"/>
          <w:spacing w:val="5"/>
          <w:sz w:val="30"/>
          <w:szCs w:val="30"/>
        </w:rPr>
      </w:pPr>
    </w:p>
    <w:p w:rsidR="004625A1" w:rsidRDefault="004625A1" w:rsidP="004625A1">
      <w:pPr>
        <w:spacing w:line="360" w:lineRule="auto"/>
        <w:rPr>
          <w:rFonts w:ascii="宋体" w:hAnsi="宋体" w:cs="宋体" w:hint="eastAsia"/>
          <w:color w:val="000000"/>
          <w:sz w:val="30"/>
          <w:szCs w:val="30"/>
        </w:rPr>
      </w:pPr>
      <w:r>
        <w:rPr>
          <w:rFonts w:ascii="宋体" w:hAnsi="宋体" w:cs="宋体"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宋体" w:hAnsi="宋体" w:cs="宋体" w:hint="eastAsia"/>
          <w:color w:val="000000"/>
          <w:sz w:val="30"/>
          <w:szCs w:val="30"/>
        </w:rPr>
        <w:fldChar w:fldCharType="separate"/>
      </w:r>
      <w:r>
        <w:rPr>
          <w:rFonts w:ascii="宋体" w:hAnsi="宋体" w:cs="宋体" w:hint="eastAsia"/>
          <w:color w:val="000000"/>
          <w:sz w:val="30"/>
          <w:szCs w:val="30"/>
        </w:rPr>
        <w:pict>
          <v:shape id="图片 2" o:spid="_x0000_i1026" type="#_x0000_t75" alt="wpsD86B" style="width:437pt;height:1.65pt">
            <v:imagedata r:id="rId7" r:href="rId9"/>
          </v:shape>
        </w:pict>
      </w:r>
      <w:r>
        <w:rPr>
          <w:rFonts w:ascii="宋体" w:hAnsi="宋体" w:cs="宋体" w:hint="eastAsia"/>
          <w:color w:val="000000"/>
          <w:sz w:val="30"/>
          <w:szCs w:val="30"/>
        </w:rPr>
        <w:fldChar w:fldCharType="end"/>
      </w:r>
    </w:p>
    <w:p w:rsidR="004625A1" w:rsidRDefault="004625A1" w:rsidP="004625A1">
      <w:pPr>
        <w:spacing w:line="360" w:lineRule="auto"/>
        <w:jc w:val="left"/>
        <w:rPr>
          <w:rFonts w:ascii="方正黑体_GBK" w:eastAsia="方正黑体_GBK" w:hAnsi="方正黑体_GBK" w:cs="方正黑体_GBK" w:hint="eastAsia"/>
          <w:color w:val="000000"/>
          <w:sz w:val="32"/>
          <w:szCs w:val="32"/>
        </w:rPr>
      </w:pPr>
      <w:r>
        <w:rPr>
          <w:rFonts w:ascii="方正仿宋_GBK" w:eastAsia="方正仿宋_GBK" w:hAnsi="方正仿宋_GBK" w:cs="方正仿宋_GBK" w:hint="eastAsia"/>
          <w:color w:val="000000"/>
          <w:sz w:val="30"/>
          <w:szCs w:val="30"/>
        </w:rPr>
        <w:t>文书一式××份，××份送达，一份归档，×××××××。</w:t>
      </w:r>
      <w:r>
        <w:rPr>
          <w:rFonts w:ascii="方正仿宋_GBK" w:eastAsia="方正仿宋_GBK" w:hAnsi="方正仿宋_GBK" w:cs="方正仿宋_GBK" w:hint="eastAsia"/>
          <w:b/>
          <w:bCs/>
          <w:color w:val="000000"/>
          <w:sz w:val="30"/>
          <w:szCs w:val="30"/>
        </w:rPr>
        <w:br w:type="page"/>
      </w:r>
      <w:r>
        <w:rPr>
          <w:rFonts w:ascii="方正黑体_GBK" w:eastAsia="方正黑体_GBK" w:hAnsi="方正黑体_GBK" w:cs="方正黑体_GBK" w:hint="eastAsia"/>
          <w:color w:val="000000"/>
          <w:sz w:val="32"/>
          <w:szCs w:val="32"/>
        </w:rPr>
        <w:lastRenderedPageBreak/>
        <w:t>附表2-2-1</w:t>
      </w:r>
    </w:p>
    <w:p w:rsidR="004625A1" w:rsidRDefault="004625A1" w:rsidP="004625A1">
      <w:pPr>
        <w:spacing w:line="360" w:lineRule="auto"/>
        <w:jc w:val="left"/>
        <w:rPr>
          <w:rFonts w:ascii="方正黑体_GBK" w:eastAsia="方正黑体_GBK" w:hAnsi="方正黑体_GBK" w:cs="方正黑体_GBK"/>
          <w:color w:val="000000"/>
          <w:sz w:val="32"/>
          <w:szCs w:val="32"/>
        </w:rPr>
      </w:pPr>
    </w:p>
    <w:p w:rsidR="004625A1" w:rsidRDefault="004625A1" w:rsidP="004625A1">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行政处理措施解除决定书送达回执</w:t>
      </w:r>
    </w:p>
    <w:p w:rsidR="004625A1" w:rsidRDefault="004625A1" w:rsidP="004625A1">
      <w:pPr>
        <w:spacing w:line="360" w:lineRule="auto"/>
        <w:jc w:val="center"/>
        <w:rPr>
          <w:rFonts w:ascii="宋体" w:hAnsi="宋体" w:cs="宋体" w:hint="eastAsia"/>
          <w:color w:val="000000"/>
          <w:sz w:val="30"/>
          <w:szCs w:val="30"/>
        </w:rPr>
      </w:pPr>
    </w:p>
    <w:tbl>
      <w:tblPr>
        <w:tblW w:w="8980" w:type="dxa"/>
        <w:tblLayout w:type="fixed"/>
        <w:tblLook w:val="0000" w:firstRow="0" w:lastRow="0" w:firstColumn="0" w:lastColumn="0" w:noHBand="0" w:noVBand="0"/>
      </w:tblPr>
      <w:tblGrid>
        <w:gridCol w:w="4291"/>
        <w:gridCol w:w="2206"/>
        <w:gridCol w:w="2483"/>
      </w:tblGrid>
      <w:tr w:rsidR="004625A1" w:rsidTr="00BC6277">
        <w:trPr>
          <w:trHeight w:val="988"/>
        </w:trPr>
        <w:tc>
          <w:tcPr>
            <w:tcW w:w="4291" w:type="dxa"/>
            <w:tcBorders>
              <w:top w:val="single" w:sz="4" w:space="0" w:color="auto"/>
              <w:left w:val="single" w:sz="4" w:space="0" w:color="auto"/>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r>
              <w:rPr>
                <w:rFonts w:ascii="仿宋" w:eastAsia="仿宋" w:hAnsi="仿宋" w:cs="仿宋" w:hint="eastAsia"/>
                <w:color w:val="000000"/>
                <w:sz w:val="30"/>
                <w:szCs w:val="30"/>
              </w:rPr>
              <w:t>行政处理措施解除决定书编号</w:t>
            </w:r>
          </w:p>
        </w:tc>
        <w:tc>
          <w:tcPr>
            <w:tcW w:w="2206" w:type="dxa"/>
            <w:tcBorders>
              <w:top w:val="single" w:sz="4" w:space="0" w:color="auto"/>
              <w:left w:val="nil"/>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r>
              <w:rPr>
                <w:rFonts w:ascii="仿宋" w:eastAsia="仿宋" w:hAnsi="仿宋" w:cs="仿宋" w:hint="eastAsia"/>
                <w:color w:val="000000"/>
                <w:sz w:val="30"/>
                <w:szCs w:val="30"/>
              </w:rPr>
              <w:t>送达时间</w:t>
            </w:r>
          </w:p>
        </w:tc>
        <w:tc>
          <w:tcPr>
            <w:tcW w:w="2483" w:type="dxa"/>
            <w:tcBorders>
              <w:top w:val="single" w:sz="4" w:space="0" w:color="auto"/>
              <w:left w:val="nil"/>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r>
              <w:rPr>
                <w:rFonts w:ascii="仿宋" w:eastAsia="仿宋" w:hAnsi="仿宋" w:cs="仿宋" w:hint="eastAsia"/>
                <w:color w:val="000000"/>
                <w:sz w:val="30"/>
                <w:szCs w:val="30"/>
              </w:rPr>
              <w:t>当事人确认签字</w:t>
            </w:r>
          </w:p>
        </w:tc>
      </w:tr>
      <w:tr w:rsidR="004625A1" w:rsidTr="00BC6277">
        <w:trPr>
          <w:trHeight w:val="1032"/>
        </w:trPr>
        <w:tc>
          <w:tcPr>
            <w:tcW w:w="4291" w:type="dxa"/>
            <w:tcBorders>
              <w:top w:val="single" w:sz="4" w:space="0" w:color="auto"/>
              <w:left w:val="single" w:sz="4" w:space="0" w:color="auto"/>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r>
              <w:rPr>
                <w:rFonts w:ascii="仿宋" w:eastAsia="仿宋" w:hAnsi="仿宋" w:cs="仿宋" w:hint="eastAsia"/>
                <w:color w:val="000000"/>
                <w:sz w:val="30"/>
                <w:szCs w:val="30"/>
              </w:rPr>
              <w:t>鄂药监经行解〔20××〕××号</w:t>
            </w:r>
          </w:p>
        </w:tc>
        <w:tc>
          <w:tcPr>
            <w:tcW w:w="2206" w:type="dxa"/>
            <w:tcBorders>
              <w:top w:val="single" w:sz="4" w:space="0" w:color="auto"/>
              <w:left w:val="nil"/>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p>
        </w:tc>
        <w:tc>
          <w:tcPr>
            <w:tcW w:w="2483" w:type="dxa"/>
            <w:tcBorders>
              <w:top w:val="single" w:sz="4" w:space="0" w:color="auto"/>
              <w:left w:val="nil"/>
              <w:bottom w:val="single" w:sz="4" w:space="0" w:color="auto"/>
              <w:right w:val="single" w:sz="4" w:space="0" w:color="auto"/>
            </w:tcBorders>
            <w:vAlign w:val="center"/>
          </w:tcPr>
          <w:p w:rsidR="004625A1" w:rsidRDefault="004625A1" w:rsidP="00BC6277">
            <w:pPr>
              <w:spacing w:line="360" w:lineRule="auto"/>
              <w:jc w:val="center"/>
              <w:rPr>
                <w:rFonts w:ascii="仿宋" w:eastAsia="仿宋" w:hAnsi="仿宋" w:cs="仿宋" w:hint="eastAsia"/>
                <w:color w:val="000000"/>
                <w:sz w:val="30"/>
                <w:szCs w:val="30"/>
              </w:rPr>
            </w:pPr>
          </w:p>
        </w:tc>
      </w:tr>
    </w:tbl>
    <w:p w:rsidR="00A206AC" w:rsidRDefault="004625A1">
      <w:r>
        <w:rPr>
          <w:rFonts w:ascii="方正仿宋_GBK" w:eastAsia="方正仿宋_GBK" w:hAnsi="方正仿宋_GBK" w:cs="方正仿宋_GBK" w:hint="eastAsia"/>
          <w:sz w:val="30"/>
          <w:szCs w:val="30"/>
        </w:rPr>
        <w:br w:type="page"/>
      </w:r>
      <w:bookmarkStart w:id="0" w:name="_GoBack"/>
      <w:bookmarkEnd w:id="0"/>
    </w:p>
    <w:sectPr w:rsidR="00A20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3A8" w:rsidRDefault="003163A8" w:rsidP="004625A1">
      <w:r>
        <w:separator/>
      </w:r>
    </w:p>
  </w:endnote>
  <w:endnote w:type="continuationSeparator" w:id="0">
    <w:p w:rsidR="003163A8" w:rsidRDefault="003163A8" w:rsidP="0046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_GBK">
    <w:altName w:val="宋体"/>
    <w:charset w:val="86"/>
    <w:family w:val="auto"/>
    <w:pitch w:val="default"/>
    <w:sig w:usb0="00000000" w:usb1="08000000" w:usb2="00000000" w:usb3="00000000" w:csb0="00040000" w:csb1="00000000"/>
  </w:font>
  <w:font w:name="仿宋_GB2312">
    <w:charset w:val="86"/>
    <w:family w:val="modern"/>
    <w:pitch w:val="fixed"/>
    <w:sig w:usb0="00000001" w:usb1="080E0000" w:usb2="00000010" w:usb3="00000000" w:csb0="00040000" w:csb1="00000000"/>
  </w:font>
  <w:font w:name="方正仿宋_GBK">
    <w:altName w:val="宋体"/>
    <w:charset w:val="86"/>
    <w:family w:val="script"/>
    <w:pitch w:val="default"/>
    <w:sig w:usb0="00000000" w:usb1="08000000" w:usb2="00000000" w:usb3="00000000" w:csb0="00040000" w:csb1="00000000"/>
  </w:font>
  <w:font w:name="方正黑体_GBK">
    <w:altName w:val="宋体"/>
    <w:charset w:val="86"/>
    <w:family w:val="auto"/>
    <w:pitch w:val="default"/>
    <w:sig w:usb0="00000000" w:usb1="08000000" w:usb2="00000000" w:usb3="00000000" w:csb0="00040000" w:csb1="00000000"/>
  </w:font>
  <w:font w:name="CESI仿宋-GB2312">
    <w:altName w:val="等线"/>
    <w:charset w:val="86"/>
    <w:family w:val="auto"/>
    <w:pitch w:val="default"/>
    <w:sig w:usb0="00000000" w:usb1="084F6CF8" w:usb2="00000010" w:usb3="00000000" w:csb0="0004000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3A8" w:rsidRDefault="003163A8" w:rsidP="004625A1">
      <w:r>
        <w:separator/>
      </w:r>
    </w:p>
  </w:footnote>
  <w:footnote w:type="continuationSeparator" w:id="0">
    <w:p w:rsidR="003163A8" w:rsidRDefault="003163A8" w:rsidP="00462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54BF4"/>
    <w:multiLevelType w:val="multilevel"/>
    <w:tmpl w:val="49754BF4"/>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5389FCD"/>
    <w:multiLevelType w:val="singleLevel"/>
    <w:tmpl w:val="65389FCD"/>
    <w:lvl w:ilvl="0">
      <w:start w:val="1"/>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997"/>
    <w:rsid w:val="003163A8"/>
    <w:rsid w:val="004625A1"/>
    <w:rsid w:val="00773997"/>
    <w:rsid w:val="00A20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00F30A-8C22-4D9D-92A1-A7A84AC2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5A1"/>
    <w:pPr>
      <w:widowControl w:val="0"/>
      <w:jc w:val="both"/>
    </w:pPr>
    <w:rPr>
      <w:rFonts w:ascii="Times New Roman" w:eastAsia="宋体" w:hAnsi="Times New Roman" w:cs="Times New Roman"/>
      <w:szCs w:val="20"/>
    </w:rPr>
  </w:style>
  <w:style w:type="paragraph" w:styleId="3">
    <w:name w:val="heading 3"/>
    <w:next w:val="a0"/>
    <w:link w:val="30"/>
    <w:qFormat/>
    <w:rsid w:val="004625A1"/>
    <w:pPr>
      <w:keepNext/>
      <w:keepLines/>
      <w:widowControl w:val="0"/>
      <w:jc w:val="both"/>
      <w:outlineLvl w:val="2"/>
    </w:pPr>
    <w:rPr>
      <w:rFonts w:ascii="Calibri" w:eastAsia="宋体" w:hAnsi="Calibri" w:cs="Times New Roman"/>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4625A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625A1"/>
    <w:rPr>
      <w:sz w:val="18"/>
      <w:szCs w:val="18"/>
    </w:rPr>
  </w:style>
  <w:style w:type="paragraph" w:styleId="a6">
    <w:name w:val="footer"/>
    <w:basedOn w:val="a"/>
    <w:link w:val="a7"/>
    <w:uiPriority w:val="99"/>
    <w:unhideWhenUsed/>
    <w:qFormat/>
    <w:rsid w:val="004625A1"/>
    <w:pPr>
      <w:tabs>
        <w:tab w:val="center" w:pos="4153"/>
        <w:tab w:val="right" w:pos="8306"/>
      </w:tabs>
      <w:snapToGrid w:val="0"/>
      <w:jc w:val="left"/>
    </w:pPr>
    <w:rPr>
      <w:sz w:val="18"/>
      <w:szCs w:val="18"/>
    </w:rPr>
  </w:style>
  <w:style w:type="character" w:customStyle="1" w:styleId="a7">
    <w:name w:val="页脚 字符"/>
    <w:basedOn w:val="a1"/>
    <w:link w:val="a6"/>
    <w:uiPriority w:val="99"/>
    <w:rsid w:val="004625A1"/>
    <w:rPr>
      <w:sz w:val="18"/>
      <w:szCs w:val="18"/>
    </w:rPr>
  </w:style>
  <w:style w:type="character" w:customStyle="1" w:styleId="30">
    <w:name w:val="标题 3 字符"/>
    <w:basedOn w:val="a1"/>
    <w:link w:val="3"/>
    <w:rsid w:val="004625A1"/>
    <w:rPr>
      <w:rFonts w:ascii="Calibri" w:eastAsia="宋体" w:hAnsi="Calibri" w:cs="Times New Roman"/>
      <w:sz w:val="32"/>
      <w:szCs w:val="24"/>
    </w:rPr>
  </w:style>
  <w:style w:type="paragraph" w:styleId="a0">
    <w:name w:val="Normal Indent"/>
    <w:qFormat/>
    <w:rsid w:val="004625A1"/>
    <w:pPr>
      <w:widowControl w:val="0"/>
      <w:ind w:firstLine="420"/>
      <w:jc w:val="both"/>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571</Words>
  <Characters>3260</Characters>
  <Application>Microsoft Office Word</Application>
  <DocSecurity>0</DocSecurity>
  <Lines>27</Lines>
  <Paragraphs>7</Paragraphs>
  <ScaleCrop>false</ScaleCrop>
  <Company>Microsoft</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2023-12-15T06:06:00Z</dcterms:created>
  <dcterms:modified xsi:type="dcterms:W3CDTF">2023-12-15T06:06:00Z</dcterms:modified>
</cp:coreProperties>
</file>