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D0E" w:rsidRDefault="006D6D0E" w:rsidP="006D6D0E">
      <w:pPr>
        <w:rPr>
          <w:rFonts w:ascii="方正黑体_GBK" w:eastAsia="方正黑体_GBK" w:hAnsi="方正黑体_GBK" w:cs="方正黑体_GBK" w:hint="eastAsia"/>
          <w:sz w:val="32"/>
          <w:szCs w:val="32"/>
        </w:rPr>
      </w:pPr>
      <w:r>
        <w:rPr>
          <w:rFonts w:ascii="方正黑体_GBK" w:eastAsia="方正黑体_GBK" w:hAnsi="方正黑体_GBK" w:cs="方正黑体_GBK" w:hint="eastAsia"/>
          <w:color w:val="000000"/>
          <w:sz w:val="32"/>
          <w:szCs w:val="32"/>
          <w:shd w:val="clear" w:color="auto" w:fill="FFFFFF"/>
        </w:rPr>
        <w:t>附件3</w:t>
      </w:r>
    </w:p>
    <w:p w:rsidR="006D6D0E" w:rsidRDefault="006D6D0E" w:rsidP="006D6D0E">
      <w:pPr>
        <w:widowControl/>
        <w:kinsoku w:val="0"/>
        <w:autoSpaceDE w:val="0"/>
        <w:autoSpaceDN w:val="0"/>
        <w:adjustRightInd w:val="0"/>
        <w:snapToGrid w:val="0"/>
        <w:spacing w:line="360" w:lineRule="auto"/>
        <w:jc w:val="center"/>
        <w:textAlignment w:val="baseline"/>
        <w:rPr>
          <w:rFonts w:ascii="方正小标宋_GBK" w:eastAsia="方正小标宋_GBK" w:hAnsi="方正小标宋_GBK" w:cs="方正小标宋_GBK" w:hint="eastAsia"/>
          <w:color w:val="000000"/>
          <w:sz w:val="40"/>
          <w:szCs w:val="40"/>
        </w:rPr>
      </w:pPr>
      <w:r>
        <w:rPr>
          <w:rFonts w:ascii="方正小标宋_GBK" w:eastAsia="方正小标宋_GBK" w:hAnsi="方正小标宋_GBK" w:cs="方正小标宋_GBK" w:hint="eastAsia"/>
          <w:color w:val="000000"/>
          <w:sz w:val="40"/>
          <w:szCs w:val="40"/>
        </w:rPr>
        <w:t>药品限期整改管理规程</w:t>
      </w:r>
    </w:p>
    <w:p w:rsidR="006D6D0E" w:rsidRDefault="006D6D0E" w:rsidP="006D6D0E">
      <w:pPr>
        <w:pStyle w:val="5"/>
        <w:spacing w:line="360" w:lineRule="auto"/>
        <w:rPr>
          <w:color w:val="000000"/>
        </w:rPr>
      </w:pPr>
    </w:p>
    <w:p w:rsidR="006D6D0E" w:rsidRDefault="006D6D0E" w:rsidP="006D6D0E">
      <w:pPr>
        <w:spacing w:line="580" w:lineRule="exact"/>
        <w:rPr>
          <w:rFonts w:ascii="黑体" w:eastAsia="黑体" w:hAnsi="黑体" w:cs="黑体" w:hint="eastAsia"/>
          <w:color w:val="000000"/>
          <w:sz w:val="32"/>
          <w:szCs w:val="32"/>
        </w:rPr>
      </w:pPr>
      <w:r>
        <w:rPr>
          <w:rFonts w:ascii="黑体" w:eastAsia="黑体" w:hAnsi="黑体" w:cs="黑体" w:hint="eastAsia"/>
          <w:color w:val="000000"/>
          <w:sz w:val="32"/>
          <w:szCs w:val="32"/>
        </w:rPr>
        <w:t>1 目的</w:t>
      </w:r>
    </w:p>
    <w:p w:rsidR="006D6D0E" w:rsidRDefault="006D6D0E" w:rsidP="006D6D0E">
      <w:pPr>
        <w:pStyle w:val="a6"/>
        <w:spacing w:line="580" w:lineRule="exact"/>
        <w:ind w:firstLineChars="200" w:firstLine="640"/>
        <w:jc w:val="both"/>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为规范药品生产检查限期整改行政处理措施实施及监管活动，特制定本规程。</w:t>
      </w:r>
    </w:p>
    <w:p w:rsidR="006D6D0E" w:rsidRDefault="006D6D0E" w:rsidP="006D6D0E">
      <w:pPr>
        <w:spacing w:line="580" w:lineRule="exact"/>
        <w:rPr>
          <w:rFonts w:ascii="黑体" w:eastAsia="黑体" w:hAnsi="黑体" w:cs="黑体" w:hint="eastAsia"/>
          <w:color w:val="000000"/>
          <w:sz w:val="32"/>
          <w:szCs w:val="32"/>
        </w:rPr>
      </w:pPr>
      <w:r>
        <w:rPr>
          <w:rFonts w:ascii="黑体" w:eastAsia="黑体" w:hAnsi="黑体" w:cs="黑体" w:hint="eastAsia"/>
          <w:color w:val="000000"/>
          <w:sz w:val="32"/>
          <w:szCs w:val="32"/>
        </w:rPr>
        <w:t>2 适用范围</w:t>
      </w:r>
    </w:p>
    <w:p w:rsidR="006D6D0E" w:rsidRDefault="006D6D0E" w:rsidP="006D6D0E">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药品生产检查中对违规和背离GMP规范行为采取限期整改处理措施的，除遵循《药品生产检查行政处理措施管理规定》一般要求外，其启动条件、工作程序及要求等适用本规程。</w:t>
      </w:r>
    </w:p>
    <w:p w:rsidR="006D6D0E" w:rsidRDefault="006D6D0E" w:rsidP="006D6D0E">
      <w:pPr>
        <w:spacing w:line="580" w:lineRule="exact"/>
        <w:rPr>
          <w:rFonts w:ascii="黑体" w:eastAsia="黑体" w:hAnsi="黑体" w:cs="黑体" w:hint="eastAsia"/>
          <w:color w:val="000000"/>
          <w:sz w:val="32"/>
          <w:szCs w:val="32"/>
        </w:rPr>
      </w:pPr>
      <w:r>
        <w:rPr>
          <w:rFonts w:ascii="黑体" w:eastAsia="黑体" w:hAnsi="黑体" w:cs="黑体" w:hint="eastAsia"/>
          <w:color w:val="000000"/>
          <w:sz w:val="32"/>
          <w:szCs w:val="32"/>
        </w:rPr>
        <w:t>3 引用文件</w:t>
      </w:r>
    </w:p>
    <w:p w:rsidR="006D6D0E" w:rsidRDefault="006D6D0E" w:rsidP="006D6D0E">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rPr>
        <w:t>3</w:t>
      </w:r>
      <w:r>
        <w:rPr>
          <w:rFonts w:ascii="仿宋_GB2312" w:eastAsia="仿宋_GB2312" w:hAnsi="仿宋_GB2312" w:cs="仿宋_GB2312" w:hint="eastAsia"/>
          <w:color w:val="000000"/>
          <w:sz w:val="32"/>
          <w:szCs w:val="32"/>
          <w:shd w:val="clear" w:color="auto" w:fill="FFFFFF"/>
        </w:rPr>
        <w:t>.1《中华人民共和国药品管理法》</w:t>
      </w:r>
    </w:p>
    <w:p w:rsidR="006D6D0E" w:rsidRDefault="006D6D0E" w:rsidP="006D6D0E">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3.2《中华人民共和国疫苗管理法》</w:t>
      </w:r>
    </w:p>
    <w:p w:rsidR="006D6D0E" w:rsidRDefault="006D6D0E" w:rsidP="006D6D0E">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3.3《中华人民共和国行政处罚法》</w:t>
      </w:r>
    </w:p>
    <w:p w:rsidR="006D6D0E" w:rsidRDefault="006D6D0E" w:rsidP="006D6D0E">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3.4《中华人民共和国药品管理法实施条例》</w:t>
      </w:r>
    </w:p>
    <w:p w:rsidR="006D6D0E" w:rsidRDefault="006D6D0E" w:rsidP="006D6D0E">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shd w:val="clear" w:color="auto" w:fill="FFFFFF"/>
        </w:rPr>
        <w:t>3.5《药品生产监督管理办法》</w:t>
      </w:r>
    </w:p>
    <w:p w:rsidR="006D6D0E" w:rsidRDefault="006D6D0E" w:rsidP="006D6D0E">
      <w:pPr>
        <w:spacing w:line="58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3.6《药品检查管理办法》（试行）</w:t>
      </w:r>
    </w:p>
    <w:p w:rsidR="006D6D0E" w:rsidRDefault="006D6D0E" w:rsidP="006D6D0E">
      <w:pPr>
        <w:spacing w:line="580" w:lineRule="exact"/>
        <w:rPr>
          <w:rFonts w:ascii="黑体" w:eastAsia="黑体" w:hAnsi="黑体" w:cs="黑体" w:hint="eastAsia"/>
          <w:color w:val="000000"/>
          <w:sz w:val="32"/>
          <w:szCs w:val="32"/>
        </w:rPr>
      </w:pPr>
      <w:r>
        <w:rPr>
          <w:rFonts w:ascii="黑体" w:eastAsia="黑体" w:hAnsi="黑体" w:cs="黑体" w:hint="eastAsia"/>
          <w:color w:val="000000"/>
          <w:sz w:val="32"/>
          <w:szCs w:val="32"/>
        </w:rPr>
        <w:t>4 术语及定义</w:t>
      </w:r>
    </w:p>
    <w:p w:rsidR="006D6D0E" w:rsidRDefault="006D6D0E" w:rsidP="006D6D0E">
      <w:pPr>
        <w:spacing w:line="58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snapToGrid w:val="0"/>
          <w:color w:val="000000"/>
          <w:kern w:val="0"/>
          <w:sz w:val="32"/>
          <w:szCs w:val="32"/>
          <w:shd w:val="clear" w:color="auto" w:fill="FFFFFF"/>
          <w:lang w:bidi="ar"/>
        </w:rPr>
        <w:t>4.1限期整改：本规程是指药品监督管理部门对已有证据证明药品生产活动偏离质量管理规范、标准或规范性文件要求的，督促药品生产企业或相关人员在规定的期限内主动采取纠正预防措施消除安全隐患的行政处理措施。</w:t>
      </w:r>
    </w:p>
    <w:p w:rsidR="006D6D0E" w:rsidRDefault="006D6D0E" w:rsidP="006D6D0E">
      <w:pPr>
        <w:spacing w:line="580" w:lineRule="exact"/>
        <w:rPr>
          <w:rFonts w:ascii="黑体" w:eastAsia="黑体" w:hAnsi="黑体" w:cs="黑体" w:hint="eastAsia"/>
          <w:color w:val="000000"/>
          <w:sz w:val="32"/>
          <w:szCs w:val="32"/>
        </w:rPr>
      </w:pPr>
      <w:r>
        <w:rPr>
          <w:rFonts w:ascii="黑体" w:eastAsia="黑体" w:hAnsi="黑体" w:cs="黑体" w:hint="eastAsia"/>
          <w:color w:val="000000"/>
          <w:sz w:val="32"/>
          <w:szCs w:val="32"/>
        </w:rPr>
        <w:lastRenderedPageBreak/>
        <w:t>5 职责</w:t>
      </w:r>
    </w:p>
    <w:p w:rsidR="006D6D0E" w:rsidRDefault="006D6D0E" w:rsidP="006D6D0E">
      <w:pPr>
        <w:pStyle w:val="3"/>
        <w:keepLines w:val="0"/>
        <w:spacing w:line="580" w:lineRule="exact"/>
        <w:ind w:firstLineChars="200" w:firstLine="640"/>
        <w:rPr>
          <w:rFonts w:ascii="仿宋_GB2312" w:eastAsia="仿宋_GB2312" w:hAnsi="仿宋_GB2312" w:cs="仿宋_GB2312" w:hint="eastAsia"/>
          <w:snapToGrid w:val="0"/>
          <w:color w:val="000000"/>
          <w:kern w:val="0"/>
          <w:szCs w:val="32"/>
          <w:shd w:val="clear" w:color="auto" w:fill="FFFFFF"/>
          <w:lang w:bidi="ar"/>
        </w:rPr>
      </w:pPr>
      <w:r>
        <w:rPr>
          <w:rFonts w:ascii="仿宋_GB2312" w:eastAsia="仿宋_GB2312" w:hAnsi="仿宋_GB2312" w:cs="仿宋_GB2312" w:hint="eastAsia"/>
          <w:snapToGrid w:val="0"/>
          <w:color w:val="000000"/>
          <w:kern w:val="0"/>
          <w:szCs w:val="32"/>
          <w:shd w:val="clear" w:color="auto" w:fill="FFFFFF"/>
          <w:lang w:bidi="ar"/>
        </w:rPr>
        <w:t>5.1 药品审评检查中心负责提供综合评定报告，可基于风险提出采取限期整改措施建议；</w:t>
      </w:r>
    </w:p>
    <w:p w:rsidR="006D6D0E" w:rsidRDefault="006D6D0E" w:rsidP="006D6D0E">
      <w:pPr>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5.2 省药监局各分局负责监督实施省药监局对持有人、药品生产企业采取的行政处理措施；可基于风险并根据日常监督检查结果作出采取限期整改措施的决定；</w:t>
      </w:r>
    </w:p>
    <w:p w:rsidR="006D6D0E" w:rsidRDefault="006D6D0E" w:rsidP="006D6D0E">
      <w:pPr>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color w:val="000000"/>
          <w:sz w:val="32"/>
          <w:szCs w:val="32"/>
          <w:shd w:val="clear" w:color="auto" w:fill="FFFFFF"/>
        </w:rPr>
        <w:t xml:space="preserve">5.3 </w:t>
      </w:r>
      <w:r>
        <w:rPr>
          <w:rFonts w:ascii="仿宋_GB2312" w:eastAsia="仿宋_GB2312" w:hAnsi="仿宋_GB2312" w:cs="仿宋_GB2312" w:hint="eastAsia"/>
          <w:snapToGrid w:val="0"/>
          <w:color w:val="000000"/>
          <w:kern w:val="0"/>
          <w:sz w:val="32"/>
          <w:szCs w:val="32"/>
          <w:shd w:val="clear" w:color="auto" w:fill="FFFFFF"/>
          <w:lang w:bidi="ar"/>
        </w:rPr>
        <w:t>药品生产监管处负责组织召开合规审核会议，必要时邀请相关部门进行专题会商；拟定药品生产限期整改行政处理措施，并报分管局领导批准后组织实施。</w:t>
      </w:r>
    </w:p>
    <w:p w:rsidR="006D6D0E" w:rsidRDefault="006D6D0E" w:rsidP="006D6D0E">
      <w:pPr>
        <w:spacing w:line="580" w:lineRule="exact"/>
        <w:rPr>
          <w:rFonts w:ascii="黑体" w:eastAsia="黑体" w:hAnsi="黑体" w:cs="黑体" w:hint="eastAsia"/>
          <w:color w:val="000000"/>
          <w:sz w:val="32"/>
          <w:szCs w:val="32"/>
        </w:rPr>
      </w:pPr>
      <w:r>
        <w:rPr>
          <w:rFonts w:ascii="黑体" w:eastAsia="黑体" w:hAnsi="黑体" w:cs="黑体" w:hint="eastAsia"/>
          <w:color w:val="000000"/>
          <w:sz w:val="32"/>
          <w:szCs w:val="32"/>
        </w:rPr>
        <w:t>6 管理要求</w:t>
      </w:r>
    </w:p>
    <w:p w:rsidR="006D6D0E" w:rsidRDefault="006D6D0E" w:rsidP="006D6D0E">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6.1启动条件</w:t>
      </w:r>
    </w:p>
    <w:p w:rsidR="006D6D0E" w:rsidRDefault="006D6D0E" w:rsidP="006D6D0E">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6.1.1一般不单独发出限期整改通知书。凡实施其他行政处理措施的，均应对药品生产存在的问题或缺陷等安全隐患提出书面的限期整改措施，并在其他行政处理措施书面文件载明限期整改要求及时限。</w:t>
      </w:r>
    </w:p>
    <w:p w:rsidR="006D6D0E" w:rsidRDefault="006D6D0E" w:rsidP="006D6D0E">
      <w:pPr>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6.1.2</w:t>
      </w:r>
      <w:r>
        <w:rPr>
          <w:rFonts w:ascii="仿宋_GB2312" w:eastAsia="仿宋_GB2312" w:hAnsi="仿宋_GB2312" w:cs="仿宋_GB2312" w:hint="eastAsia"/>
          <w:color w:val="000000"/>
          <w:sz w:val="32"/>
          <w:szCs w:val="32"/>
          <w:shd w:val="clear" w:color="auto" w:fill="FFFFFF"/>
        </w:rPr>
        <w:t>有证据证明可能存在安全隐患需要整改的，以及药品生产企业未在规定期限内提交整改报告或整改计划的；复查中发现企业未如实填报整改报告或评估认为整改措施不力、整改不到位的，应采取限期整改的风险控制措施。</w:t>
      </w:r>
      <w:r>
        <w:rPr>
          <w:rFonts w:ascii="仿宋_GB2312" w:eastAsia="仿宋_GB2312" w:hAnsi="仿宋_GB2312" w:cs="仿宋_GB2312" w:hint="eastAsia"/>
          <w:snapToGrid w:val="0"/>
          <w:color w:val="000000"/>
          <w:kern w:val="0"/>
          <w:sz w:val="32"/>
          <w:szCs w:val="32"/>
          <w:shd w:val="clear" w:color="auto" w:fill="FFFFFF"/>
          <w:lang w:bidi="ar"/>
        </w:rPr>
        <w:t>如未实施其他行政处理措施的，但要求限期整改的，可以发出书面《湖北省药品生产限期整改通知书》(附件3-1)。</w:t>
      </w:r>
    </w:p>
    <w:p w:rsidR="006D6D0E" w:rsidRDefault="006D6D0E" w:rsidP="006D6D0E">
      <w:pPr>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6.2 程序及要求</w:t>
      </w:r>
    </w:p>
    <w:p w:rsidR="006D6D0E" w:rsidRDefault="006D6D0E" w:rsidP="006D6D0E">
      <w:pPr>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6.2.1采取限期整改措施的，一般要求当事人7个工作日向药品检查机构提交预防和纠正措施报告。</w:t>
      </w:r>
    </w:p>
    <w:p w:rsidR="006D6D0E" w:rsidRDefault="006D6D0E" w:rsidP="006D6D0E">
      <w:pPr>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lastRenderedPageBreak/>
        <w:t>6.2.2</w:t>
      </w:r>
      <w:r>
        <w:rPr>
          <w:rFonts w:ascii="仿宋_GB2312" w:eastAsia="仿宋_GB2312" w:hAnsi="仿宋_GB2312" w:cs="仿宋_GB2312" w:hint="eastAsia"/>
          <w:color w:val="000000"/>
          <w:sz w:val="32"/>
          <w:szCs w:val="32"/>
          <w:shd w:val="clear" w:color="auto" w:fill="FFFFFF"/>
        </w:rPr>
        <w:t xml:space="preserve"> </w:t>
      </w:r>
      <w:r>
        <w:rPr>
          <w:rFonts w:ascii="仿宋_GB2312" w:eastAsia="仿宋_GB2312" w:hAnsi="仿宋_GB2312" w:cs="仿宋_GB2312" w:hint="eastAsia"/>
          <w:snapToGrid w:val="0"/>
          <w:color w:val="000000"/>
          <w:kern w:val="0"/>
          <w:sz w:val="32"/>
          <w:szCs w:val="32"/>
          <w:shd w:val="clear" w:color="auto" w:fill="FFFFFF"/>
          <w:lang w:bidi="ar"/>
        </w:rPr>
        <w:t>限期整改措施可以</w:t>
      </w:r>
      <w:r>
        <w:rPr>
          <w:rFonts w:ascii="仿宋_GB2312" w:eastAsia="仿宋_GB2312" w:hAnsi="仿宋_GB2312" w:cs="仿宋_GB2312" w:hint="eastAsia"/>
          <w:color w:val="000000"/>
          <w:sz w:val="32"/>
          <w:szCs w:val="32"/>
          <w:shd w:val="clear" w:color="auto" w:fill="FFFFFF"/>
        </w:rPr>
        <w:t>单独使用，也可以与告诫、责任约谈等风险控制措施合并使用时，并</w:t>
      </w:r>
      <w:r>
        <w:rPr>
          <w:rFonts w:ascii="仿宋_GB2312" w:eastAsia="仿宋_GB2312" w:hAnsi="仿宋_GB2312" w:cs="仿宋_GB2312" w:hint="eastAsia"/>
          <w:snapToGrid w:val="0"/>
          <w:color w:val="000000"/>
          <w:kern w:val="0"/>
          <w:sz w:val="32"/>
          <w:szCs w:val="32"/>
          <w:shd w:val="clear" w:color="auto" w:fill="FFFFFF"/>
          <w:lang w:bidi="ar"/>
        </w:rPr>
        <w:t>视情与其他行政处理措施一并进行信息公开。</w:t>
      </w:r>
    </w:p>
    <w:p w:rsidR="006D6D0E" w:rsidRDefault="006D6D0E" w:rsidP="006D6D0E">
      <w:pPr>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6.2.3应当区分限期整改和责令限期改正。责令限期改正是药品监督管理部门对药品生产活动相关方违法违规行为，责令立即改正或限期改正而发出的书面通知。</w:t>
      </w:r>
    </w:p>
    <w:p w:rsidR="006D6D0E" w:rsidRDefault="006D6D0E" w:rsidP="006D6D0E">
      <w:pPr>
        <w:spacing w:line="580" w:lineRule="exact"/>
        <w:rPr>
          <w:rFonts w:ascii="黑体" w:eastAsia="黑体" w:hAnsi="黑体" w:cs="黑体" w:hint="eastAsia"/>
          <w:color w:val="000000"/>
          <w:sz w:val="32"/>
          <w:szCs w:val="32"/>
        </w:rPr>
      </w:pPr>
      <w:r>
        <w:rPr>
          <w:rFonts w:ascii="黑体" w:eastAsia="黑体" w:hAnsi="黑体" w:cs="黑体" w:hint="eastAsia"/>
          <w:color w:val="000000"/>
          <w:sz w:val="32"/>
          <w:szCs w:val="32"/>
        </w:rPr>
        <w:t>7 相关记录</w:t>
      </w:r>
    </w:p>
    <w:p w:rsidR="006D6D0E" w:rsidRDefault="006D6D0E" w:rsidP="006D6D0E">
      <w:pPr>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7.1《湖北省药品生产限期整改通知书》</w:t>
      </w:r>
    </w:p>
    <w:p w:rsidR="006D6D0E" w:rsidRDefault="006D6D0E" w:rsidP="006D6D0E">
      <w:pPr>
        <w:spacing w:line="580" w:lineRule="exact"/>
        <w:rPr>
          <w:rFonts w:ascii="黑体" w:eastAsia="黑体" w:hAnsi="黑体" w:cs="黑体"/>
          <w:color w:val="000000"/>
          <w:sz w:val="32"/>
          <w:szCs w:val="32"/>
        </w:rPr>
      </w:pPr>
      <w:r>
        <w:rPr>
          <w:rFonts w:ascii="黑体" w:eastAsia="黑体" w:hAnsi="黑体" w:cs="黑体" w:hint="eastAsia"/>
          <w:color w:val="000000"/>
          <w:sz w:val="32"/>
          <w:szCs w:val="32"/>
        </w:rPr>
        <w:t>8</w:t>
      </w:r>
      <w:r>
        <w:rPr>
          <w:rFonts w:ascii="黑体" w:eastAsia="黑体" w:hAnsi="黑体" w:cs="黑体"/>
          <w:color w:val="000000"/>
          <w:sz w:val="32"/>
          <w:szCs w:val="32"/>
        </w:rPr>
        <w:t xml:space="preserve"> 附件</w:t>
      </w:r>
    </w:p>
    <w:p w:rsidR="006D6D0E" w:rsidRDefault="006D6D0E" w:rsidP="006D6D0E">
      <w:pPr>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附件3-1  湖北省药品生产限期整改通知书</w:t>
      </w:r>
    </w:p>
    <w:p w:rsidR="006D6D0E" w:rsidRDefault="006D6D0E" w:rsidP="006D6D0E">
      <w:pPr>
        <w:spacing w:line="580" w:lineRule="exact"/>
        <w:ind w:firstLineChars="200" w:firstLine="640"/>
        <w:jc w:val="left"/>
        <w:rPr>
          <w:rFonts w:ascii="仿宋_GB2312" w:eastAsia="仿宋_GB2312" w:hAnsi="仿宋_GB2312" w:cs="仿宋_GB2312" w:hint="eastAsia"/>
          <w:snapToGrid w:val="0"/>
          <w:color w:val="000000"/>
          <w:kern w:val="0"/>
          <w:sz w:val="32"/>
          <w:szCs w:val="32"/>
          <w:shd w:val="clear" w:color="auto" w:fill="FFFFFF"/>
          <w:lang w:bidi="ar"/>
        </w:rPr>
      </w:pPr>
      <w:r>
        <w:rPr>
          <w:rFonts w:ascii="方正仿宋_GBK" w:eastAsia="方正仿宋_GBK" w:hAnsi="方正仿宋_GBK" w:cs="方正仿宋_GBK" w:hint="eastAsia"/>
          <w:color w:val="000000"/>
          <w:sz w:val="32"/>
          <w:szCs w:val="32"/>
        </w:rPr>
        <w:t>附表3-1-1限期整改通知书送达回执</w:t>
      </w:r>
    </w:p>
    <w:p w:rsidR="006D6D0E" w:rsidRDefault="006D6D0E" w:rsidP="006D6D0E">
      <w:pPr>
        <w:spacing w:line="560" w:lineRule="exact"/>
        <w:rPr>
          <w:rFonts w:ascii="方正黑体_GBK" w:eastAsia="方正黑体_GBK" w:hAnsi="方正黑体_GBK" w:cs="方正黑体_GBK" w:hint="eastAsia"/>
          <w:color w:val="000000"/>
          <w:sz w:val="32"/>
          <w:szCs w:val="32"/>
        </w:rPr>
      </w:pPr>
      <w:r>
        <w:rPr>
          <w:rFonts w:ascii="宋体" w:hAnsi="宋体" w:cs="宋体" w:hint="eastAsia"/>
          <w:color w:val="000000"/>
          <w:kern w:val="0"/>
          <w:sz w:val="30"/>
          <w:szCs w:val="30"/>
        </w:rPr>
        <w:br w:type="page"/>
      </w:r>
      <w:r>
        <w:rPr>
          <w:rFonts w:ascii="方正黑体_GBK" w:eastAsia="方正黑体_GBK" w:hAnsi="方正黑体_GBK" w:cs="方正黑体_GBK" w:hint="eastAsia"/>
          <w:color w:val="000000"/>
          <w:sz w:val="32"/>
          <w:szCs w:val="32"/>
        </w:rPr>
        <w:lastRenderedPageBreak/>
        <w:t>附件3-1</w:t>
      </w:r>
    </w:p>
    <w:p w:rsidR="006D6D0E" w:rsidRDefault="006D6D0E" w:rsidP="006D6D0E">
      <w:pPr>
        <w:spacing w:line="440" w:lineRule="exact"/>
        <w:rPr>
          <w:rFonts w:ascii="宋体" w:hAnsi="宋体" w:cs="宋体" w:hint="eastAsia"/>
          <w:color w:val="000000"/>
          <w:sz w:val="36"/>
          <w:szCs w:val="36"/>
        </w:rPr>
      </w:pPr>
    </w:p>
    <w:p w:rsidR="006D6D0E" w:rsidRDefault="006D6D0E" w:rsidP="006D6D0E">
      <w:pPr>
        <w:adjustRightInd w:val="0"/>
        <w:snapToGrid w:val="0"/>
        <w:spacing w:line="580" w:lineRule="exact"/>
        <w:jc w:val="center"/>
        <w:rPr>
          <w:rFonts w:ascii="方正小标宋_GBK" w:eastAsia="方正小标宋_GBK" w:hAnsi="方正小标宋_GBK" w:cs="方正小标宋_GBK" w:hint="eastAsia"/>
          <w:color w:val="000000"/>
          <w:sz w:val="40"/>
          <w:szCs w:val="40"/>
        </w:rPr>
      </w:pPr>
      <w:r>
        <w:rPr>
          <w:rFonts w:ascii="方正小标宋_GBK" w:eastAsia="方正小标宋_GBK" w:hAnsi="方正小标宋_GBK" w:cs="方正小标宋_GBK" w:hint="eastAsia"/>
          <w:color w:val="000000"/>
          <w:sz w:val="40"/>
          <w:szCs w:val="40"/>
        </w:rPr>
        <w:t>湖北省药品生产限期整改通知书</w:t>
      </w:r>
    </w:p>
    <w:p w:rsidR="006D6D0E" w:rsidRDefault="006D6D0E" w:rsidP="006D6D0E">
      <w:pPr>
        <w:snapToGrid w:val="0"/>
        <w:spacing w:beforeLines="100" w:before="312" w:afterLines="100" w:after="312" w:line="520" w:lineRule="exact"/>
        <w:jc w:val="center"/>
        <w:rPr>
          <w:rFonts w:ascii="宋体" w:hAnsi="宋体" w:cs="宋体" w:hint="eastAsia"/>
          <w:color w:val="000000"/>
          <w:sz w:val="30"/>
          <w:szCs w:val="30"/>
        </w:rPr>
      </w:pPr>
      <w:r>
        <w:rPr>
          <w:rFonts w:ascii="方正仿宋_GBK" w:eastAsia="方正仿宋_GBK" w:hAnsi="方正仿宋_GBK" w:cs="方正仿宋_GBK" w:hint="eastAsia"/>
          <w:color w:val="000000"/>
          <w:sz w:val="30"/>
          <w:szCs w:val="30"/>
        </w:rPr>
        <w:t>鄂药监生责改〔20××〕××号</w:t>
      </w:r>
    </w:p>
    <w:p w:rsidR="006D6D0E" w:rsidRDefault="006D6D0E" w:rsidP="006D6D0E">
      <w:pPr>
        <w:spacing w:line="360" w:lineRule="auto"/>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w:t>
      </w:r>
    </w:p>
    <w:p w:rsidR="006D6D0E" w:rsidRDefault="006D6D0E" w:rsidP="006D6D0E">
      <w:pPr>
        <w:spacing w:line="360" w:lineRule="auto"/>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经查，你单位存在以下问题和缺陷：××××××××××××××××××××××××××××××××××，不符合××××的规定。</w:t>
      </w:r>
    </w:p>
    <w:p w:rsidR="006D6D0E" w:rsidRDefault="006D6D0E" w:rsidP="006D6D0E">
      <w:pPr>
        <w:spacing w:line="360" w:lineRule="auto"/>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根据《中华人民共和国药品管理法》第九十九条规定，请你单位在××××年××月××日前向××××提交预防纠正措施计划，并承诺在×年××月××日整改完成。</w:t>
      </w:r>
    </w:p>
    <w:p w:rsidR="006D6D0E" w:rsidRDefault="006D6D0E" w:rsidP="006D6D0E">
      <w:pPr>
        <w:spacing w:line="360" w:lineRule="auto"/>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联系人：××××；联系电话：××××。</w:t>
      </w:r>
    </w:p>
    <w:p w:rsidR="006D6D0E" w:rsidRDefault="006D6D0E" w:rsidP="006D6D0E">
      <w:pPr>
        <w:spacing w:line="360" w:lineRule="auto"/>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 xml:space="preserve"> </w:t>
      </w:r>
    </w:p>
    <w:p w:rsidR="006D6D0E" w:rsidRDefault="006D6D0E" w:rsidP="006D6D0E">
      <w:pPr>
        <w:snapToGrid w:val="0"/>
        <w:spacing w:line="560" w:lineRule="exact"/>
        <w:ind w:firstLineChars="200" w:firstLine="600"/>
        <w:rPr>
          <w:rFonts w:ascii="宋体" w:hAnsi="宋体" w:cs="宋体" w:hint="eastAsia"/>
          <w:color w:val="000000"/>
          <w:sz w:val="30"/>
          <w:szCs w:val="30"/>
        </w:rPr>
      </w:pPr>
      <w:r>
        <w:rPr>
          <w:rFonts w:ascii="宋体" w:hAnsi="宋体" w:cs="宋体" w:hint="eastAsia"/>
          <w:color w:val="000000"/>
          <w:sz w:val="30"/>
          <w:szCs w:val="30"/>
        </w:rPr>
        <w:t xml:space="preserve"> </w:t>
      </w:r>
    </w:p>
    <w:p w:rsidR="006D6D0E" w:rsidRDefault="006D6D0E" w:rsidP="006D6D0E">
      <w:pPr>
        <w:snapToGrid w:val="0"/>
        <w:spacing w:line="560" w:lineRule="exact"/>
        <w:ind w:firstLineChars="200" w:firstLine="600"/>
        <w:rPr>
          <w:rFonts w:ascii="宋体" w:hAnsi="宋体" w:cs="宋体" w:hint="eastAsia"/>
          <w:color w:val="000000"/>
          <w:sz w:val="30"/>
          <w:szCs w:val="30"/>
        </w:rPr>
      </w:pPr>
      <w:r>
        <w:rPr>
          <w:rFonts w:ascii="宋体" w:hAnsi="宋体" w:cs="宋体" w:hint="eastAsia"/>
          <w:color w:val="000000"/>
          <w:sz w:val="30"/>
          <w:szCs w:val="30"/>
        </w:rPr>
        <w:t xml:space="preserve"> </w:t>
      </w:r>
    </w:p>
    <w:p w:rsidR="006D6D0E" w:rsidRDefault="006D6D0E" w:rsidP="006D6D0E">
      <w:pPr>
        <w:spacing w:line="360" w:lineRule="auto"/>
        <w:ind w:firstLineChars="1181" w:firstLine="3779"/>
        <w:jc w:val="center"/>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××药品监督管理局</w:t>
      </w:r>
    </w:p>
    <w:p w:rsidR="006D6D0E" w:rsidRDefault="006D6D0E" w:rsidP="006D6D0E">
      <w:pPr>
        <w:spacing w:line="360" w:lineRule="auto"/>
        <w:ind w:firstLineChars="1181" w:firstLine="3779"/>
        <w:jc w:val="center"/>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（印 章）</w:t>
      </w:r>
    </w:p>
    <w:p w:rsidR="006D6D0E" w:rsidRDefault="006D6D0E" w:rsidP="006D6D0E">
      <w:pPr>
        <w:spacing w:line="360" w:lineRule="auto"/>
        <w:ind w:firstLineChars="1181" w:firstLine="3779"/>
        <w:jc w:val="center"/>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××××年××月××日</w:t>
      </w:r>
    </w:p>
    <w:p w:rsidR="006D6D0E" w:rsidRDefault="006D6D0E" w:rsidP="006D6D0E">
      <w:pPr>
        <w:spacing w:line="520" w:lineRule="exact"/>
        <w:rPr>
          <w:rFonts w:ascii="宋体" w:hAnsi="宋体" w:cs="宋体" w:hint="eastAsia"/>
          <w:color w:val="000000"/>
          <w:sz w:val="30"/>
          <w:szCs w:val="30"/>
        </w:rPr>
      </w:pPr>
    </w:p>
    <w:p w:rsidR="006D6D0E" w:rsidRDefault="006D6D0E" w:rsidP="006D6D0E">
      <w:pPr>
        <w:spacing w:line="520" w:lineRule="exact"/>
        <w:rPr>
          <w:rFonts w:ascii="宋体" w:hAnsi="宋体" w:cs="宋体" w:hint="eastAsia"/>
          <w:color w:val="000000"/>
          <w:sz w:val="30"/>
          <w:szCs w:val="30"/>
        </w:rPr>
      </w:pPr>
    </w:p>
    <w:p w:rsidR="006D6D0E" w:rsidRDefault="006D6D0E" w:rsidP="006D6D0E">
      <w:pPr>
        <w:spacing w:line="460" w:lineRule="exact"/>
        <w:rPr>
          <w:rFonts w:ascii="宋体" w:hAnsi="宋体" w:cs="宋体" w:hint="eastAsia"/>
          <w:color w:val="000000"/>
          <w:sz w:val="30"/>
          <w:szCs w:val="30"/>
        </w:rPr>
      </w:pPr>
      <w:r>
        <w:rPr>
          <w:rFonts w:ascii="宋体" w:hAnsi="宋体" w:cs="宋体" w:hint="eastAsia"/>
          <w:color w:val="000000"/>
          <w:sz w:val="30"/>
          <w:szCs w:val="30"/>
        </w:rPr>
        <w:fldChar w:fldCharType="begin"/>
      </w:r>
      <w:r>
        <w:instrText xml:space="preserve"> INCLUDEPICTURE "../../../../Documents/11/2023/tmp/wps-ht706/tmp_576e568762c7f926be81bb7171dd9188/d3Bz/.deepinwine/Deepin-WeChat/dosdevices/c:/users/hzj/My Documents/WeChat Files/wxid_l83ut896b4wv22/FileStorage/MsgAttach/331dfbb8fca27484f3b0d94909d8be16/File/2023-12/" \* MERGEFORMAT </w:instrText>
      </w:r>
      <w:r>
        <w:rPr>
          <w:rFonts w:ascii="宋体" w:hAnsi="宋体" w:cs="宋体" w:hint="eastAsia"/>
          <w:color w:val="000000"/>
          <w:sz w:val="30"/>
          <w:szCs w:val="30"/>
        </w:rPr>
        <w:fldChar w:fldCharType="separate"/>
      </w:r>
      <w:r>
        <w:rPr>
          <w:rFonts w:ascii="宋体" w:hAnsi="宋体" w:cs="宋体" w:hint="eastAsia"/>
          <w:color w:val="000000"/>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i1025" type="#_x0000_t75" alt="wpsD86B" style="width:437pt;height:1.65pt">
            <v:imagedata r:id="rId6" r:href="rId7"/>
          </v:shape>
        </w:pict>
      </w:r>
      <w:r>
        <w:rPr>
          <w:rFonts w:ascii="宋体" w:hAnsi="宋体" w:cs="宋体" w:hint="eastAsia"/>
          <w:color w:val="000000"/>
          <w:sz w:val="30"/>
          <w:szCs w:val="30"/>
        </w:rPr>
        <w:fldChar w:fldCharType="end"/>
      </w:r>
    </w:p>
    <w:p w:rsidR="006D6D0E" w:rsidRDefault="006D6D0E" w:rsidP="006D6D0E">
      <w:pPr>
        <w:spacing w:line="360" w:lineRule="exact"/>
        <w:jc w:val="left"/>
        <w:rPr>
          <w:rFonts w:ascii="方正黑体_GBK" w:eastAsia="方正黑体_GBK" w:hAnsi="方正黑体_GBK" w:cs="方正黑体_GBK" w:hint="eastAsia"/>
          <w:color w:val="000000"/>
          <w:sz w:val="32"/>
          <w:szCs w:val="32"/>
        </w:rPr>
      </w:pPr>
      <w:r>
        <w:rPr>
          <w:rFonts w:ascii="仿宋_GB2312" w:eastAsia="仿宋_GB2312" w:hAnsi="仿宋_GB2312" w:cs="仿宋_GB2312" w:hint="eastAsia"/>
          <w:snapToGrid w:val="0"/>
          <w:color w:val="000000"/>
          <w:kern w:val="0"/>
          <w:sz w:val="32"/>
          <w:szCs w:val="32"/>
          <w:shd w:val="clear" w:color="auto" w:fill="FFFFFF"/>
          <w:lang w:bidi="ar"/>
        </w:rPr>
        <w:t>文书一式××份，××份送达，一份归档，×××××××。</w:t>
      </w:r>
      <w:r>
        <w:rPr>
          <w:rFonts w:ascii="仿宋_GB2312" w:eastAsia="仿宋_GB2312" w:hAnsi="仿宋_GB2312" w:cs="仿宋_GB2312" w:hint="eastAsia"/>
          <w:snapToGrid w:val="0"/>
          <w:color w:val="000000"/>
          <w:kern w:val="0"/>
          <w:sz w:val="32"/>
          <w:szCs w:val="32"/>
          <w:shd w:val="clear" w:color="auto" w:fill="FFFFFF"/>
          <w:lang w:bidi="ar"/>
        </w:rPr>
        <w:br w:type="page"/>
      </w:r>
      <w:r>
        <w:rPr>
          <w:rFonts w:ascii="方正黑体_GBK" w:eastAsia="方正黑体_GBK" w:hAnsi="方正黑体_GBK" w:cs="方正黑体_GBK" w:hint="eastAsia"/>
          <w:color w:val="000000"/>
          <w:sz w:val="32"/>
          <w:szCs w:val="32"/>
        </w:rPr>
        <w:lastRenderedPageBreak/>
        <w:t>附表3-1-1</w:t>
      </w:r>
    </w:p>
    <w:p w:rsidR="006D6D0E" w:rsidRDefault="006D6D0E" w:rsidP="006D6D0E">
      <w:pPr>
        <w:spacing w:line="360" w:lineRule="exact"/>
        <w:jc w:val="left"/>
        <w:rPr>
          <w:rFonts w:ascii="方正黑体_GBK" w:eastAsia="方正黑体_GBK" w:hAnsi="方正黑体_GBK" w:cs="方正黑体_GBK"/>
          <w:color w:val="000000"/>
          <w:sz w:val="32"/>
          <w:szCs w:val="32"/>
        </w:rPr>
      </w:pPr>
    </w:p>
    <w:p w:rsidR="006D6D0E" w:rsidRDefault="006D6D0E" w:rsidP="006D6D0E">
      <w:pPr>
        <w:spacing w:line="360" w:lineRule="auto"/>
        <w:jc w:val="center"/>
        <w:rPr>
          <w:rFonts w:ascii="方正小标宋_GBK" w:eastAsia="方正小标宋_GBK" w:hAnsi="方正小标宋_GBK" w:cs="方正小标宋_GBK" w:hint="eastAsia"/>
          <w:color w:val="000000"/>
          <w:sz w:val="36"/>
          <w:szCs w:val="36"/>
        </w:rPr>
      </w:pPr>
      <w:r>
        <w:rPr>
          <w:rFonts w:ascii="方正小标宋_GBK" w:eastAsia="方正小标宋_GBK" w:hAnsi="方正小标宋_GBK" w:cs="方正小标宋_GBK" w:hint="eastAsia"/>
          <w:color w:val="000000"/>
          <w:sz w:val="36"/>
          <w:szCs w:val="36"/>
        </w:rPr>
        <w:t>限期整改通知书送达回执</w:t>
      </w:r>
    </w:p>
    <w:p w:rsidR="006D6D0E" w:rsidRDefault="006D6D0E" w:rsidP="006D6D0E">
      <w:pPr>
        <w:spacing w:line="360" w:lineRule="auto"/>
        <w:jc w:val="center"/>
        <w:rPr>
          <w:rFonts w:ascii="宋体" w:hAnsi="宋体" w:cs="宋体" w:hint="eastAsia"/>
          <w:color w:val="000000"/>
          <w:sz w:val="36"/>
          <w:szCs w:val="36"/>
        </w:rPr>
      </w:pPr>
    </w:p>
    <w:tbl>
      <w:tblPr>
        <w:tblW w:w="9167" w:type="dxa"/>
        <w:jc w:val="center"/>
        <w:tblLayout w:type="fixed"/>
        <w:tblLook w:val="0000" w:firstRow="0" w:lastRow="0" w:firstColumn="0" w:lastColumn="0" w:noHBand="0" w:noVBand="0"/>
      </w:tblPr>
      <w:tblGrid>
        <w:gridCol w:w="4633"/>
        <w:gridCol w:w="1766"/>
        <w:gridCol w:w="2768"/>
      </w:tblGrid>
      <w:tr w:rsidR="006D6D0E" w:rsidTr="00BC6277">
        <w:trPr>
          <w:trHeight w:val="930"/>
          <w:jc w:val="center"/>
        </w:trPr>
        <w:tc>
          <w:tcPr>
            <w:tcW w:w="4633" w:type="dxa"/>
            <w:tcBorders>
              <w:top w:val="single" w:sz="4" w:space="0" w:color="auto"/>
              <w:left w:val="single" w:sz="4" w:space="0" w:color="auto"/>
              <w:bottom w:val="single" w:sz="4" w:space="0" w:color="auto"/>
              <w:right w:val="single" w:sz="4" w:space="0" w:color="auto"/>
            </w:tcBorders>
            <w:vAlign w:val="center"/>
          </w:tcPr>
          <w:p w:rsidR="006D6D0E" w:rsidRDefault="006D6D0E" w:rsidP="00BC6277">
            <w:pPr>
              <w:jc w:val="center"/>
              <w:rPr>
                <w:rFonts w:ascii="方正仿宋_GBK" w:eastAsia="方正仿宋_GBK" w:hAnsi="方正仿宋_GBK" w:cs="方正仿宋_GBK" w:hint="eastAsia"/>
                <w:color w:val="000000"/>
                <w:sz w:val="32"/>
                <w:szCs w:val="32"/>
              </w:rPr>
            </w:pPr>
            <w:r>
              <w:rPr>
                <w:rFonts w:ascii="方正仿宋_GBK" w:eastAsia="方正仿宋_GBK" w:hAnsi="方正仿宋_GBK" w:cs="方正仿宋_GBK" w:hint="eastAsia"/>
                <w:color w:val="000000"/>
                <w:sz w:val="32"/>
                <w:szCs w:val="32"/>
              </w:rPr>
              <w:t>限期整改通知书编号</w:t>
            </w:r>
          </w:p>
        </w:tc>
        <w:tc>
          <w:tcPr>
            <w:tcW w:w="1766" w:type="dxa"/>
            <w:tcBorders>
              <w:top w:val="single" w:sz="4" w:space="0" w:color="auto"/>
              <w:left w:val="nil"/>
              <w:bottom w:val="single" w:sz="4" w:space="0" w:color="auto"/>
              <w:right w:val="single" w:sz="4" w:space="0" w:color="auto"/>
            </w:tcBorders>
            <w:vAlign w:val="center"/>
          </w:tcPr>
          <w:p w:rsidR="006D6D0E" w:rsidRDefault="006D6D0E" w:rsidP="00BC6277">
            <w:pPr>
              <w:jc w:val="center"/>
              <w:rPr>
                <w:rFonts w:ascii="方正仿宋_GBK" w:eastAsia="方正仿宋_GBK" w:hAnsi="方正仿宋_GBK" w:cs="方正仿宋_GBK" w:hint="eastAsia"/>
                <w:color w:val="000000"/>
                <w:sz w:val="32"/>
                <w:szCs w:val="32"/>
              </w:rPr>
            </w:pPr>
            <w:r>
              <w:rPr>
                <w:rFonts w:ascii="方正仿宋_GBK" w:eastAsia="方正仿宋_GBK" w:hAnsi="方正仿宋_GBK" w:cs="方正仿宋_GBK" w:hint="eastAsia"/>
                <w:color w:val="000000"/>
                <w:sz w:val="32"/>
                <w:szCs w:val="32"/>
              </w:rPr>
              <w:t>送达时间</w:t>
            </w:r>
          </w:p>
        </w:tc>
        <w:tc>
          <w:tcPr>
            <w:tcW w:w="2768" w:type="dxa"/>
            <w:tcBorders>
              <w:top w:val="single" w:sz="4" w:space="0" w:color="auto"/>
              <w:left w:val="nil"/>
              <w:bottom w:val="single" w:sz="4" w:space="0" w:color="auto"/>
              <w:right w:val="single" w:sz="4" w:space="0" w:color="auto"/>
            </w:tcBorders>
            <w:vAlign w:val="center"/>
          </w:tcPr>
          <w:p w:rsidR="006D6D0E" w:rsidRDefault="006D6D0E" w:rsidP="00BC6277">
            <w:pPr>
              <w:jc w:val="center"/>
              <w:rPr>
                <w:rFonts w:ascii="方正仿宋_GBK" w:eastAsia="方正仿宋_GBK" w:hAnsi="方正仿宋_GBK" w:cs="方正仿宋_GBK" w:hint="eastAsia"/>
                <w:color w:val="000000"/>
                <w:sz w:val="32"/>
                <w:szCs w:val="32"/>
              </w:rPr>
            </w:pPr>
            <w:r>
              <w:rPr>
                <w:rFonts w:ascii="方正仿宋_GBK" w:eastAsia="方正仿宋_GBK" w:hAnsi="方正仿宋_GBK" w:cs="方正仿宋_GBK" w:hint="eastAsia"/>
                <w:color w:val="000000"/>
                <w:sz w:val="32"/>
                <w:szCs w:val="32"/>
              </w:rPr>
              <w:t>当事人确认签字</w:t>
            </w:r>
          </w:p>
        </w:tc>
      </w:tr>
      <w:tr w:rsidR="006D6D0E" w:rsidTr="00BC6277">
        <w:trPr>
          <w:jc w:val="center"/>
        </w:trPr>
        <w:tc>
          <w:tcPr>
            <w:tcW w:w="4633" w:type="dxa"/>
            <w:tcBorders>
              <w:top w:val="single" w:sz="4" w:space="0" w:color="auto"/>
              <w:left w:val="single" w:sz="4" w:space="0" w:color="auto"/>
              <w:bottom w:val="single" w:sz="4" w:space="0" w:color="auto"/>
              <w:right w:val="single" w:sz="4" w:space="0" w:color="auto"/>
            </w:tcBorders>
            <w:vAlign w:val="center"/>
          </w:tcPr>
          <w:p w:rsidR="006D6D0E" w:rsidRDefault="006D6D0E" w:rsidP="00BC6277">
            <w:pPr>
              <w:spacing w:beforeLines="100" w:before="312" w:afterLines="100" w:after="312"/>
              <w:jc w:val="center"/>
              <w:rPr>
                <w:rFonts w:ascii="方正仿宋_GBK" w:eastAsia="方正仿宋_GBK" w:hAnsi="方正仿宋_GBK" w:cs="方正仿宋_GBK" w:hint="eastAsia"/>
                <w:b/>
                <w:bCs/>
                <w:color w:val="000000"/>
                <w:sz w:val="32"/>
                <w:szCs w:val="32"/>
              </w:rPr>
            </w:pPr>
            <w:r>
              <w:rPr>
                <w:rFonts w:ascii="方正仿宋_GBK" w:eastAsia="方正仿宋_GBK" w:hAnsi="方正仿宋_GBK" w:cs="方正仿宋_GBK" w:hint="eastAsia"/>
                <w:color w:val="000000"/>
                <w:sz w:val="32"/>
                <w:szCs w:val="32"/>
              </w:rPr>
              <w:t>鄂药监生责改〔20××〕××号</w:t>
            </w:r>
          </w:p>
        </w:tc>
        <w:tc>
          <w:tcPr>
            <w:tcW w:w="1766" w:type="dxa"/>
            <w:tcBorders>
              <w:top w:val="single" w:sz="4" w:space="0" w:color="auto"/>
              <w:left w:val="nil"/>
              <w:bottom w:val="single" w:sz="4" w:space="0" w:color="auto"/>
              <w:right w:val="single" w:sz="4" w:space="0" w:color="auto"/>
            </w:tcBorders>
            <w:vAlign w:val="center"/>
          </w:tcPr>
          <w:p w:rsidR="006D6D0E" w:rsidRDefault="006D6D0E" w:rsidP="00BC6277">
            <w:pPr>
              <w:jc w:val="center"/>
              <w:rPr>
                <w:rFonts w:ascii="方正仿宋_GBK" w:eastAsia="方正仿宋_GBK" w:hAnsi="方正仿宋_GBK" w:cs="方正仿宋_GBK" w:hint="eastAsia"/>
                <w:b/>
                <w:bCs/>
                <w:color w:val="000000"/>
                <w:sz w:val="32"/>
                <w:szCs w:val="32"/>
              </w:rPr>
            </w:pPr>
          </w:p>
        </w:tc>
        <w:tc>
          <w:tcPr>
            <w:tcW w:w="2768" w:type="dxa"/>
            <w:tcBorders>
              <w:top w:val="single" w:sz="4" w:space="0" w:color="auto"/>
              <w:left w:val="nil"/>
              <w:bottom w:val="single" w:sz="4" w:space="0" w:color="auto"/>
              <w:right w:val="single" w:sz="4" w:space="0" w:color="auto"/>
            </w:tcBorders>
            <w:vAlign w:val="center"/>
          </w:tcPr>
          <w:p w:rsidR="006D6D0E" w:rsidRDefault="006D6D0E" w:rsidP="00BC6277">
            <w:pPr>
              <w:jc w:val="center"/>
              <w:rPr>
                <w:rFonts w:ascii="方正仿宋_GBK" w:eastAsia="方正仿宋_GBK" w:hAnsi="方正仿宋_GBK" w:cs="方正仿宋_GBK" w:hint="eastAsia"/>
                <w:b/>
                <w:bCs/>
                <w:color w:val="000000"/>
                <w:sz w:val="32"/>
                <w:szCs w:val="32"/>
              </w:rPr>
            </w:pPr>
          </w:p>
        </w:tc>
      </w:tr>
    </w:tbl>
    <w:p w:rsidR="006D6D0E" w:rsidRDefault="006D6D0E" w:rsidP="006D6D0E">
      <w:pPr>
        <w:spacing w:line="360" w:lineRule="auto"/>
        <w:ind w:firstLineChars="100" w:firstLine="210"/>
        <w:rPr>
          <w:color w:val="000000"/>
        </w:rPr>
      </w:pPr>
    </w:p>
    <w:p w:rsidR="00A206AC" w:rsidRDefault="006D6D0E" w:rsidP="006D6D0E">
      <w:r>
        <w:rPr>
          <w:rFonts w:ascii="方正仿宋_GBK" w:eastAsia="方正仿宋_GBK" w:hAnsi="方正仿宋_GBK" w:cs="方正仿宋_GBK" w:hint="eastAsia"/>
          <w:sz w:val="30"/>
          <w:szCs w:val="30"/>
        </w:rPr>
        <w:br w:type="page"/>
      </w:r>
      <w:bookmarkStart w:id="0" w:name="_GoBack"/>
      <w:bookmarkEnd w:id="0"/>
    </w:p>
    <w:sectPr w:rsidR="00A206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152" w:rsidRDefault="00437152" w:rsidP="006D6D0E">
      <w:r>
        <w:separator/>
      </w:r>
    </w:p>
  </w:endnote>
  <w:endnote w:type="continuationSeparator" w:id="0">
    <w:p w:rsidR="00437152" w:rsidRDefault="00437152" w:rsidP="006D6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charset w:val="00"/>
    <w:family w:val="swiss"/>
    <w:pitch w:val="variable"/>
    <w:sig w:usb0="E10002FF" w:usb1="4000ACFF" w:usb2="00000009" w:usb3="00000000" w:csb0="0000019F" w:csb1="00000000"/>
  </w:font>
  <w:font w:name="方正黑体_GBK">
    <w:altName w:val="宋体"/>
    <w:charset w:val="86"/>
    <w:family w:val="auto"/>
    <w:pitch w:val="default"/>
    <w:sig w:usb0="00000000" w:usb1="08000000" w:usb2="00000000" w:usb3="00000000" w:csb0="00040000" w:csb1="00000000"/>
  </w:font>
  <w:font w:name="方正小标宋_GBK">
    <w:altName w:val="宋体"/>
    <w:charset w:val="86"/>
    <w:family w:val="auto"/>
    <w:pitch w:val="default"/>
    <w:sig w:usb0="00000000" w:usb1="08000000" w:usb2="0000000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仿宋_GB2312">
    <w:charset w:val="86"/>
    <w:family w:val="modern"/>
    <w:pitch w:val="fixed"/>
    <w:sig w:usb0="00000001" w:usb1="080E0000" w:usb2="00000010" w:usb3="00000000" w:csb0="00040000" w:csb1="00000000"/>
  </w:font>
  <w:font w:name="方正仿宋_GBK">
    <w:altName w:val="宋体"/>
    <w:charset w:val="86"/>
    <w:family w:val="script"/>
    <w:pitch w:val="default"/>
    <w:sig w:usb0="00000000" w:usb1="08000000" w:usb2="00000000" w:usb3="00000000" w:csb0="00040000"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152" w:rsidRDefault="00437152" w:rsidP="006D6D0E">
      <w:r>
        <w:separator/>
      </w:r>
    </w:p>
  </w:footnote>
  <w:footnote w:type="continuationSeparator" w:id="0">
    <w:p w:rsidR="00437152" w:rsidRDefault="00437152" w:rsidP="006D6D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2F3"/>
    <w:rsid w:val="000E62F3"/>
    <w:rsid w:val="00437152"/>
    <w:rsid w:val="006D6D0E"/>
    <w:rsid w:val="00A20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62BC5C3-F02C-45E1-B4F2-4DE41F959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0" w:unhideWhenUsed="1" w:qFormat="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D0E"/>
    <w:pPr>
      <w:widowControl w:val="0"/>
      <w:jc w:val="both"/>
    </w:pPr>
    <w:rPr>
      <w:rFonts w:ascii="Times New Roman" w:eastAsia="宋体" w:hAnsi="Times New Roman" w:cs="Times New Roman"/>
      <w:szCs w:val="20"/>
    </w:rPr>
  </w:style>
  <w:style w:type="paragraph" w:styleId="3">
    <w:name w:val="heading 3"/>
    <w:next w:val="a0"/>
    <w:link w:val="30"/>
    <w:qFormat/>
    <w:rsid w:val="006D6D0E"/>
    <w:pPr>
      <w:keepNext/>
      <w:keepLines/>
      <w:widowControl w:val="0"/>
      <w:jc w:val="both"/>
      <w:outlineLvl w:val="2"/>
    </w:pPr>
    <w:rPr>
      <w:rFonts w:ascii="Calibri" w:eastAsia="宋体" w:hAnsi="Calibri" w:cs="Times New Roman"/>
      <w:sz w:val="32"/>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6D6D0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5">
    <w:name w:val="页眉 字符"/>
    <w:basedOn w:val="a1"/>
    <w:link w:val="a4"/>
    <w:uiPriority w:val="99"/>
    <w:rsid w:val="006D6D0E"/>
    <w:rPr>
      <w:sz w:val="18"/>
      <w:szCs w:val="18"/>
    </w:rPr>
  </w:style>
  <w:style w:type="paragraph" w:styleId="a6">
    <w:name w:val="footer"/>
    <w:basedOn w:val="a"/>
    <w:link w:val="a7"/>
    <w:uiPriority w:val="99"/>
    <w:unhideWhenUsed/>
    <w:qFormat/>
    <w:rsid w:val="006D6D0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7">
    <w:name w:val="页脚 字符"/>
    <w:basedOn w:val="a1"/>
    <w:link w:val="a6"/>
    <w:uiPriority w:val="99"/>
    <w:rsid w:val="006D6D0E"/>
    <w:rPr>
      <w:sz w:val="18"/>
      <w:szCs w:val="18"/>
    </w:rPr>
  </w:style>
  <w:style w:type="character" w:customStyle="1" w:styleId="30">
    <w:name w:val="标题 3 字符"/>
    <w:basedOn w:val="a1"/>
    <w:link w:val="3"/>
    <w:rsid w:val="006D6D0E"/>
    <w:rPr>
      <w:rFonts w:ascii="Calibri" w:eastAsia="宋体" w:hAnsi="Calibri" w:cs="Times New Roman"/>
      <w:sz w:val="32"/>
      <w:szCs w:val="24"/>
    </w:rPr>
  </w:style>
  <w:style w:type="paragraph" w:styleId="5">
    <w:name w:val="index 5"/>
    <w:basedOn w:val="a"/>
    <w:next w:val="a"/>
    <w:qFormat/>
    <w:rsid w:val="006D6D0E"/>
    <w:pPr>
      <w:ind w:left="1680"/>
    </w:pPr>
  </w:style>
  <w:style w:type="paragraph" w:styleId="a0">
    <w:name w:val="Normal Indent"/>
    <w:basedOn w:val="a"/>
    <w:uiPriority w:val="99"/>
    <w:semiHidden/>
    <w:unhideWhenUsed/>
    <w:rsid w:val="006D6D0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Documents/11/2023/tmp/wps-ht706/tmp_576e568762c7f926be81bb7171dd9188/d3Bz/.deepinwine/Deepin-WeChat/dosdevices/c:/users/hzj/My%20Documents/WeChat%20Files/wxid_l83ut896b4wv22/FileStorage/MsgAttach/331dfbb8fca27484f3b0d94909d8be16/File/2023-1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256</Words>
  <Characters>1461</Characters>
  <Application>Microsoft Office Word</Application>
  <DocSecurity>0</DocSecurity>
  <Lines>12</Lines>
  <Paragraphs>3</Paragraphs>
  <ScaleCrop>false</ScaleCrop>
  <Company>Microsoft</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2023-12-15T06:06:00Z</dcterms:created>
  <dcterms:modified xsi:type="dcterms:W3CDTF">2023-12-15T06:06:00Z</dcterms:modified>
</cp:coreProperties>
</file>