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7C3A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eastAsia="zh-CN"/>
        </w:rPr>
        <w:t>附件</w:t>
      </w:r>
      <w:r>
        <w:rPr>
          <w:rFonts w:hint="eastAsia" w:ascii="方正黑体_GBK" w:hAnsi="方正黑体_GBK" w:eastAsia="方正黑体_GBK" w:cs="方正黑体_GBK"/>
          <w:b w:val="0"/>
          <w:bCs w:val="0"/>
          <w:color w:val="auto"/>
          <w:sz w:val="32"/>
          <w:szCs w:val="32"/>
          <w:lang w:val="en-US" w:eastAsia="zh-CN"/>
        </w:rPr>
        <w:t>3</w:t>
      </w:r>
    </w:p>
    <w:p w14:paraId="127D176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小标宋_GBK" w:hAnsi="方正小标宋_GBK" w:eastAsia="方正小标宋_GBK" w:cs="方正小标宋_GBK"/>
          <w:b w:val="0"/>
          <w:bCs w:val="0"/>
          <w:color w:val="auto"/>
          <w:sz w:val="36"/>
          <w:szCs w:val="36"/>
          <w:lang w:eastAsia="zh-CN"/>
        </w:rPr>
      </w:pPr>
      <w:r>
        <w:rPr>
          <w:rFonts w:hint="eastAsia" w:ascii="方正小标宋_GBK" w:hAnsi="方正小标宋_GBK" w:eastAsia="方正小标宋_GBK" w:cs="方正小标宋_GBK"/>
          <w:b w:val="0"/>
          <w:bCs w:val="0"/>
          <w:color w:val="auto"/>
          <w:sz w:val="36"/>
          <w:szCs w:val="36"/>
        </w:rPr>
        <w:t>湖北省</w:t>
      </w:r>
      <w:r>
        <w:rPr>
          <w:rFonts w:hint="eastAsia" w:ascii="方正小标宋_GBK" w:hAnsi="方正小标宋_GBK" w:eastAsia="方正小标宋_GBK" w:cs="方正小标宋_GBK"/>
          <w:b w:val="0"/>
          <w:bCs w:val="0"/>
          <w:color w:val="auto"/>
          <w:sz w:val="36"/>
          <w:szCs w:val="36"/>
          <w:lang w:eastAsia="zh-CN"/>
        </w:rPr>
        <w:t>第二类精神药品</w:t>
      </w:r>
      <w:r>
        <w:rPr>
          <w:rFonts w:hint="eastAsia" w:ascii="方正小标宋_GBK" w:hAnsi="方正小标宋_GBK" w:eastAsia="方正小标宋_GBK" w:cs="方正小标宋_GBK"/>
          <w:b w:val="0"/>
          <w:bCs w:val="0"/>
          <w:color w:val="auto"/>
          <w:sz w:val="36"/>
          <w:szCs w:val="36"/>
        </w:rPr>
        <w:t>经营活动许可检查</w:t>
      </w:r>
      <w:r>
        <w:rPr>
          <w:rFonts w:hint="eastAsia" w:ascii="方正小标宋_GBK" w:hAnsi="方正小标宋_GBK" w:eastAsia="方正小标宋_GBK" w:cs="方正小标宋_GBK"/>
          <w:b w:val="0"/>
          <w:bCs w:val="0"/>
          <w:color w:val="auto"/>
          <w:sz w:val="36"/>
          <w:szCs w:val="36"/>
          <w:lang w:eastAsia="zh-CN"/>
        </w:rPr>
        <w:t>标准（试行）</w:t>
      </w:r>
    </w:p>
    <w:p w14:paraId="60C5516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楷体_GBK" w:hAnsi="方正楷体_GBK" w:eastAsia="方正楷体_GBK" w:cs="方正楷体_GBK"/>
          <w:b/>
          <w:bCs/>
          <w:color w:val="auto"/>
          <w:sz w:val="32"/>
          <w:szCs w:val="32"/>
          <w:lang w:eastAsia="zh-CN"/>
        </w:rPr>
      </w:pPr>
    </w:p>
    <w:p w14:paraId="0F491F6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楷体_GBK" w:hAnsi="方正楷体_GBK" w:eastAsia="方正楷体_GBK" w:cs="方正楷体_GBK"/>
          <w:b/>
          <w:bCs/>
          <w:color w:val="auto"/>
          <w:sz w:val="32"/>
          <w:szCs w:val="32"/>
          <w:lang w:eastAsia="zh-CN"/>
        </w:rPr>
      </w:pPr>
      <w:r>
        <w:rPr>
          <w:rFonts w:hint="eastAsia" w:ascii="方正楷体_GBK" w:hAnsi="方正楷体_GBK" w:eastAsia="方正楷体_GBK" w:cs="方正楷体_GBK"/>
          <w:b/>
          <w:bCs/>
          <w:color w:val="auto"/>
          <w:sz w:val="32"/>
          <w:szCs w:val="32"/>
          <w:lang w:eastAsia="zh-CN"/>
        </w:rPr>
        <w:t>说</w:t>
      </w:r>
      <w:r>
        <w:rPr>
          <w:rFonts w:hint="eastAsia" w:ascii="方正楷体_GBK" w:hAnsi="方正楷体_GBK" w:eastAsia="方正楷体_GBK" w:cs="方正楷体_GBK"/>
          <w:b/>
          <w:bCs/>
          <w:color w:val="auto"/>
          <w:sz w:val="32"/>
          <w:szCs w:val="32"/>
          <w:lang w:val="en-US" w:eastAsia="zh-CN"/>
        </w:rPr>
        <w:t xml:space="preserve">   </w:t>
      </w:r>
      <w:r>
        <w:rPr>
          <w:rFonts w:hint="eastAsia" w:ascii="方正楷体_GBK" w:hAnsi="方正楷体_GBK" w:eastAsia="方正楷体_GBK" w:cs="方正楷体_GBK"/>
          <w:b/>
          <w:bCs/>
          <w:color w:val="auto"/>
          <w:sz w:val="32"/>
          <w:szCs w:val="32"/>
          <w:lang w:eastAsia="zh-CN"/>
        </w:rPr>
        <w:t>明</w:t>
      </w:r>
    </w:p>
    <w:p w14:paraId="6D4B5D03">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lang w:eastAsia="zh-CN"/>
        </w:rPr>
        <w:t>一、制定目的</w:t>
      </w:r>
    </w:p>
    <w:p w14:paraId="0691BEDC">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为规范第二类精神药品药品</w:t>
      </w:r>
      <w:r>
        <w:rPr>
          <w:rFonts w:hint="eastAsia" w:ascii="方正仿宋_GBK" w:hAnsi="方正仿宋_GBK" w:eastAsia="方正仿宋_GBK" w:cs="方正仿宋_GBK"/>
          <w:color w:val="auto"/>
          <w:sz w:val="30"/>
          <w:szCs w:val="30"/>
          <w:lang w:val="en-US" w:eastAsia="zh-CN"/>
        </w:rPr>
        <w:t>经营定点监督管理及许可检查，保证精神药品合法、安全、合理经营，防止流入非法渠道</w:t>
      </w:r>
      <w:r>
        <w:rPr>
          <w:rFonts w:hint="eastAsia" w:ascii="方正仿宋_GBK" w:hAnsi="方正仿宋_GBK" w:eastAsia="方正仿宋_GBK" w:cs="方正仿宋_GBK"/>
          <w:color w:val="auto"/>
          <w:sz w:val="30"/>
          <w:szCs w:val="30"/>
          <w:lang w:eastAsia="zh-CN"/>
        </w:rPr>
        <w:t>，根据现行药品管理法律、法规、规范和规范性文件制定本检查标准。</w:t>
      </w:r>
    </w:p>
    <w:p w14:paraId="365DE5BE">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lang w:eastAsia="zh-CN"/>
        </w:rPr>
        <w:t>二、适用范围</w:t>
      </w:r>
    </w:p>
    <w:p w14:paraId="47394999">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以下申请从事第二类精神药品经营活动的药品经营企业适用本检查标准：</w:t>
      </w:r>
    </w:p>
    <w:p w14:paraId="302F8F5B">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（一）专门从事药品第二类精神药品批发业务的；</w:t>
      </w:r>
    </w:p>
    <w:p w14:paraId="6CAD6146">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（二）满足供药责任区域条件的药品批发企业增加经营范围的；</w:t>
      </w:r>
    </w:p>
    <w:p w14:paraId="2BB494BB">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（三）满足供药责任区域条件，并实行统一购进、统一配送、统一管理无不良记录的药品零售连锁企业增加经营范围的；</w:t>
      </w:r>
    </w:p>
    <w:p w14:paraId="63AA390A">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从事麻醉药品和第一类精神药品批发业务的全国性批发企业和区域性批发企业（即加注有从事第二类精神药品原料药或第二类精神药品制剂），在监督检查时可以参考本检查标准。</w:t>
      </w:r>
    </w:p>
    <w:p w14:paraId="5C8FFE2D">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lang w:eastAsia="zh-CN"/>
        </w:rPr>
        <w:t>三、制定依据</w:t>
      </w:r>
    </w:p>
    <w:p w14:paraId="7728E3CF">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本检查标准依据《中华人民共和国药品管理法》《中华人民共和国药品管理法实施条例》《药品经营质量管理规范》</w:t>
      </w:r>
      <w:r>
        <w:rPr>
          <w:rFonts w:hint="eastAsia" w:ascii="方正仿宋_GBK" w:hAnsi="方正仿宋_GBK" w:eastAsia="方正仿宋_GBK" w:cs="方正仿宋_GBK"/>
          <w:color w:val="auto"/>
          <w:sz w:val="30"/>
          <w:szCs w:val="30"/>
          <w:lang w:val="en-US" w:eastAsia="zh-CN"/>
        </w:rPr>
        <w:t>及其附录和现场检查指导原则、</w:t>
      </w:r>
      <w:r>
        <w:rPr>
          <w:rFonts w:hint="eastAsia" w:ascii="方正仿宋_GBK" w:hAnsi="方正仿宋_GBK" w:eastAsia="方正仿宋_GBK" w:cs="方正仿宋_GBK"/>
          <w:color w:val="auto"/>
          <w:sz w:val="30"/>
          <w:szCs w:val="30"/>
          <w:lang w:eastAsia="zh-CN"/>
        </w:rPr>
        <w:t>《麻醉药品和精神药品经营管理办法（试行）》《麻醉药品和精神药品邮寄管理办法》《麻醉药品和精神药品运输管理办法》</w:t>
      </w:r>
      <w:r>
        <w:rPr>
          <w:rFonts w:hint="eastAsia" w:ascii="方正仿宋_GBK" w:hAnsi="方正仿宋_GBK" w:eastAsia="方正仿宋_GBK" w:cs="方正仿宋_GBK"/>
          <w:color w:val="auto"/>
          <w:sz w:val="30"/>
          <w:szCs w:val="30"/>
          <w:lang w:val="en-US" w:eastAsia="zh-CN"/>
        </w:rPr>
        <w:t>《药品网络销售监督管理办法》</w:t>
      </w:r>
      <w:r>
        <w:rPr>
          <w:rFonts w:hint="eastAsia" w:ascii="方正仿宋_GBK" w:hAnsi="方正仿宋_GBK" w:eastAsia="方正仿宋_GBK" w:cs="方正仿宋_GBK"/>
          <w:color w:val="auto"/>
          <w:sz w:val="30"/>
          <w:szCs w:val="30"/>
          <w:lang w:eastAsia="zh-CN"/>
        </w:rPr>
        <w:t>《湖北省药品管理条例》等法律法规、规范性文件制定。</w:t>
      </w:r>
    </w:p>
    <w:p w14:paraId="2A3134A9">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四、标准使用</w:t>
      </w:r>
    </w:p>
    <w:p w14:paraId="3B08CF95">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第二类精神药品经营许可检查应当根据药品管理法律、法规、规范和规范性文件要求，按照《药品检查管理办法（试行）》实施许可检查：</w:t>
      </w:r>
    </w:p>
    <w:p w14:paraId="730A491A">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一）对新开办药品经营批发企业、药品零售连锁企业同时申请或增加第二类精神药品经营范围、以及专门从事药品第二类精神药品批发业务的定点企业，应当同时按照《湖北省药品批发企业经营活动许可检查标准》及本标准实施检查；</w:t>
      </w:r>
    </w:p>
    <w:p w14:paraId="51E8F7DE">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（二）对药品零售连锁企业增加第二类精神药品经营范围的，应当同时按照《湖北省药品零售连锁企业（总部）经营活动许可检查标准》《湖北省社会药房经营活动许可检查指导原则》及本标准实施检查；</w:t>
      </w:r>
    </w:p>
    <w:p w14:paraId="67AFFA13">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（三）对原开办的药品经营批发企业申请增加第二类精神药品经营范围的，按照原国家食品药品监督管理总局《药品经营质量管理规范现场检查指导原则》及本标准实施检查。</w:t>
      </w:r>
    </w:p>
    <w:p w14:paraId="69130F12">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五、检查缺陷及结果评定</w:t>
      </w:r>
    </w:p>
    <w:p w14:paraId="194201B1">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（一）药品经营许可检查报告可以参照《药品经营活动检查报告要求及撰写指南》进行。检查缺陷分为严重缺陷、主要缺陷和一般缺陷，并参照《药品经营活动质量管理缺陷分级定义及风险评定指导原则》进行。</w:t>
      </w:r>
    </w:p>
    <w:p w14:paraId="73617C6A">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（二）药品经营许可现场检查结论和综合评定结论的评定标准分为符合要求、基本符合要求和不符合要求。</w:t>
      </w:r>
    </w:p>
    <w:p w14:paraId="7CE2646C">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（三）药品经营许可现场检查结论和综合评定结论的评定标准：</w:t>
      </w:r>
    </w:p>
    <w:p w14:paraId="0629BB0A">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1.未发现缺陷的，检查结论为符合要求。</w:t>
      </w:r>
    </w:p>
    <w:p w14:paraId="114D36D2">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2.发现一般缺陷或者主要缺陷，但不影响整体药品质量管理体系运行，不对药品经营环节药品质量造成影响，检查结论为基本符合要求，包含但不限于以下情形：</w:t>
      </w:r>
    </w:p>
    <w:p w14:paraId="4DD1CC4B">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（1）与《药品经营质量管理规范》（以下简称GSP）有偏离，会引发低等级质量安全风险，但不影响药品质量的行为；</w:t>
      </w:r>
    </w:p>
    <w:p w14:paraId="29D7CDA5">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（2）计算机系统、质量管理体系文件不完善，结合实际经综合分析判定只对药品质量管理体系运行产生一般影响。</w:t>
      </w:r>
    </w:p>
    <w:p w14:paraId="5ABD5FAA">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3.发现严重缺陷，或者发现的主要缺陷和一般缺陷涉及企业质量管理体系运行，可能引发较严重质量安全风险，检查结论为不符合要求，包含但不限于以下情况：</w:t>
      </w:r>
    </w:p>
    <w:p w14:paraId="0001CAD5">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（1）企业质量负责人、质量管理部门负责人未负责药品质量管理工作，不能正常履行职责；</w:t>
      </w:r>
    </w:p>
    <w:p w14:paraId="63F8A812">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（2）企业一直未按GSP要求使用计算机系统；</w:t>
      </w:r>
    </w:p>
    <w:p w14:paraId="5D7ED1A9">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（3）储存、运输过程中存在对药品质量产生影响的行为。</w:t>
      </w:r>
    </w:p>
    <w:p w14:paraId="27DE6345">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六、其他说明</w:t>
      </w:r>
    </w:p>
    <w:p w14:paraId="290B1D98">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（一）药品批发许可检查标准由药品法律法规合规性</w:t>
      </w:r>
      <w:r>
        <w:rPr>
          <w:rFonts w:hint="eastAsia" w:ascii="方正仿宋_GBK" w:hAnsi="方正仿宋_GBK" w:cs="方正仿宋_GBK"/>
          <w:color w:val="auto"/>
          <w:sz w:val="30"/>
          <w:szCs w:val="30"/>
          <w:lang w:val="en-US" w:eastAsia="zh-CN"/>
        </w:rPr>
        <w:t>、</w:t>
      </w:r>
      <w:r>
        <w:rPr>
          <w:rFonts w:hint="eastAsia" w:ascii="方正仿宋_GBK" w:hAnsi="方正仿宋_GBK" w:eastAsia="方正仿宋_GBK" w:cs="方正仿宋_GBK"/>
          <w:color w:val="auto"/>
          <w:sz w:val="30"/>
          <w:szCs w:val="30"/>
          <w:lang w:val="en-US" w:eastAsia="zh-CN"/>
        </w:rPr>
        <w:t>批发企业及连锁总部第二类精神药品安全管理标准符合性</w:t>
      </w:r>
      <w:r>
        <w:rPr>
          <w:rFonts w:hint="eastAsia" w:ascii="方正仿宋_GBK" w:hAnsi="方正仿宋_GBK" w:cs="方正仿宋_GBK"/>
          <w:color w:val="auto"/>
          <w:sz w:val="30"/>
          <w:szCs w:val="30"/>
          <w:lang w:val="en-US" w:eastAsia="zh-CN"/>
        </w:rPr>
        <w:t>、</w:t>
      </w:r>
      <w:r>
        <w:rPr>
          <w:rFonts w:hint="eastAsia" w:ascii="方正仿宋_GBK" w:hAnsi="方正仿宋_GBK" w:eastAsia="方正仿宋_GBK" w:cs="方正仿宋_GBK"/>
          <w:color w:val="auto"/>
          <w:sz w:val="30"/>
          <w:szCs w:val="30"/>
          <w:lang w:val="en-US" w:eastAsia="zh-CN"/>
        </w:rPr>
        <w:t>连锁门店第二类精神药品安全管理标准符合性三部分组成。</w:t>
      </w:r>
    </w:p>
    <w:p w14:paraId="54EE8F4C">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二）第二类精神药品经营许可检查是药品经营监督检查组成部分。除首次许可检查执行本标准外，其他许可检查及日常检查还应当按照原国家食品药品监督管理总局《药品经营质量管理规范现场检查指导原则》执行。除首次许可检查独立组织开展外，鼓励其他许可检查可以结合药品经营企业常规检查、有因检查、其他检查（例如：药品GSP符合性检查）方式进行。</w:t>
      </w:r>
    </w:p>
    <w:p w14:paraId="16A55FC2">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（三）凡违反药品管理法律法规的行为及本标准带**项直接判定为严重缺陷；违反本标准带*项规定判定为主要缺陷。</w:t>
      </w:r>
    </w:p>
    <w:p w14:paraId="10984782">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default"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（四）</w:t>
      </w:r>
      <w:r>
        <w:rPr>
          <w:rFonts w:hint="eastAsia" w:ascii="方正仿宋_GBK" w:hAnsi="方正仿宋_GBK" w:eastAsia="方正仿宋_GBK" w:cs="方正仿宋_GBK"/>
          <w:color w:val="auto"/>
          <w:spacing w:val="-6"/>
          <w:sz w:val="30"/>
          <w:szCs w:val="30"/>
          <w:lang w:val="en-US" w:eastAsia="zh-CN"/>
        </w:rPr>
        <w:t>发现第二类精神药品进行网络销售的，直接判定检查结果不符合要求，并移交检查证据立案查处</w:t>
      </w:r>
      <w:r>
        <w:rPr>
          <w:rFonts w:hint="eastAsia" w:ascii="方正仿宋_GBK" w:hAnsi="方正仿宋_GBK" w:eastAsia="方正仿宋_GBK" w:cs="方正仿宋_GBK"/>
          <w:color w:val="auto"/>
          <w:sz w:val="30"/>
          <w:szCs w:val="30"/>
          <w:lang w:val="en-US" w:eastAsia="zh-CN"/>
        </w:rPr>
        <w:t>。</w:t>
      </w:r>
    </w:p>
    <w:p w14:paraId="6C06DCCC">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（五）实行第二类精神药品品种经营和供药责任区报告制度，并在药品经营场地主文件中列出所经营的第二类精神药品品种和供药责任区清单。</w:t>
      </w:r>
    </w:p>
    <w:p w14:paraId="1FBC4D4E">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1.第二类精神药品品种目录由省药监局检查中心按照国家有关规定定期更新，以便检查员现场检查参考</w:t>
      </w:r>
      <w:r>
        <w:rPr>
          <w:rFonts w:hint="eastAsia" w:ascii="方正仿宋_GBK" w:hAnsi="方正仿宋_GBK" w:cs="方正仿宋_GBK"/>
          <w:b/>
          <w:bCs/>
          <w:color w:val="4F81BD"/>
          <w:sz w:val="30"/>
          <w:szCs w:val="30"/>
          <w:lang w:val="en-US" w:eastAsia="zh-CN"/>
        </w:rPr>
        <w:t>。</w:t>
      </w:r>
      <w:r>
        <w:rPr>
          <w:rFonts w:hint="eastAsia" w:ascii="方正仿宋_GBK" w:hAnsi="方正仿宋_GBK" w:eastAsia="方正仿宋_GBK" w:cs="方正仿宋_GBK"/>
          <w:color w:val="auto"/>
          <w:sz w:val="30"/>
          <w:szCs w:val="30"/>
          <w:lang w:val="en-US" w:eastAsia="zh-CN"/>
        </w:rPr>
        <w:t>申请人可根据国家第二类精神药品品种目录制定经营的第二类精神药品品种清单</w:t>
      </w:r>
      <w:r>
        <w:rPr>
          <w:rFonts w:hint="eastAsia" w:ascii="方正仿宋_GBK" w:hAnsi="方正仿宋_GBK" w:cs="方正仿宋_GBK"/>
          <w:color w:val="auto"/>
          <w:sz w:val="30"/>
          <w:szCs w:val="30"/>
          <w:lang w:val="en-US" w:eastAsia="zh-CN"/>
        </w:rPr>
        <w:t>；</w:t>
      </w:r>
    </w:p>
    <w:p w14:paraId="0EC05460">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2.供药责任区清单应当列出所销售的具有第二类精神药品经营范围的批发企业、医疗机构和从事第二类精神药品零售的药品零售连锁企业</w:t>
      </w:r>
      <w:r>
        <w:rPr>
          <w:rFonts w:hint="eastAsia" w:ascii="方正仿宋_GBK" w:hAnsi="方正仿宋_GBK" w:cs="方正仿宋_GBK"/>
          <w:color w:val="auto"/>
          <w:sz w:val="30"/>
          <w:szCs w:val="30"/>
          <w:lang w:val="en-US" w:eastAsia="zh-CN"/>
        </w:rPr>
        <w:t>；</w:t>
      </w:r>
    </w:p>
    <w:p w14:paraId="0D92F1A5">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3.第二类精神药品原料药经营仅限于从事麻醉药品和第一类精神药品批发业务的全国性批发企业和区域性批发企业和专门从事药品第二类精神药品批发业务的定点企业。</w:t>
      </w:r>
    </w:p>
    <w:p w14:paraId="629A97DC">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不符合上述规定之一的，直接判定检查结果不符合要求。</w:t>
      </w:r>
    </w:p>
    <w:p w14:paraId="717B1E62">
      <w:pPr>
        <w:spacing w:line="560" w:lineRule="exact"/>
        <w:ind w:firstLine="3975" w:firstLineChars="1100"/>
        <w:rPr>
          <w:rFonts w:hint="default" w:ascii="宋体" w:hAnsi="宋体" w:eastAsia="宋体" w:cs="宋体"/>
          <w:b/>
          <w:bCs/>
          <w:color w:val="auto"/>
          <w:sz w:val="36"/>
          <w:szCs w:val="36"/>
          <w:lang w:val="en-US" w:eastAsia="zh-CN"/>
        </w:rPr>
      </w:pPr>
      <w:r>
        <w:rPr>
          <w:rFonts w:hint="eastAsia" w:ascii="宋体" w:hAnsi="宋体" w:eastAsia="宋体" w:cs="宋体"/>
          <w:b/>
          <w:bCs/>
          <w:color w:val="0000FF"/>
          <w:sz w:val="36"/>
          <w:szCs w:val="36"/>
          <w:lang w:eastAsia="zh-CN"/>
        </w:rPr>
        <w:br w:type="page"/>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9"/>
        <w:gridCol w:w="7476"/>
        <w:gridCol w:w="4844"/>
        <w:gridCol w:w="671"/>
      </w:tblGrid>
      <w:tr w14:paraId="65094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71" w:type="dxa"/>
          <w:trHeight w:val="375" w:hRule="atLeast"/>
          <w:jc w:val="center"/>
        </w:trPr>
        <w:tc>
          <w:tcPr>
            <w:tcW w:w="13829" w:type="dxa"/>
            <w:gridSpan w:val="3"/>
            <w:tcBorders>
              <w:tl2br w:val="nil"/>
              <w:tr2bl w:val="nil"/>
            </w:tcBorders>
            <w:noWrap w:val="0"/>
            <w:tcMar>
              <w:top w:w="15" w:type="dxa"/>
              <w:left w:w="15" w:type="dxa"/>
              <w:right w:w="15" w:type="dxa"/>
            </w:tcMar>
            <w:vAlign w:val="center"/>
          </w:tcPr>
          <w:p w14:paraId="1B2C5938">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top"/>
              <w:rPr>
                <w:rFonts w:hint="eastAsia" w:ascii="方正仿宋_GBK" w:hAnsi="方正仿宋_GBK" w:eastAsia="方正仿宋_GBK" w:cs="方正仿宋_GBK"/>
                <w:b/>
                <w:i w:val="0"/>
                <w:color w:val="auto"/>
                <w:sz w:val="28"/>
                <w:szCs w:val="28"/>
                <w:u w:val="none"/>
                <w:lang w:val="en-US" w:eastAsia="zh-CN"/>
              </w:rPr>
            </w:pPr>
            <w:r>
              <w:rPr>
                <w:rFonts w:hint="eastAsia" w:ascii="方正仿宋_GBK" w:hAnsi="方正仿宋_GBK" w:eastAsia="方正仿宋_GBK" w:cs="方正仿宋_GBK"/>
                <w:b/>
                <w:i w:val="0"/>
                <w:color w:val="auto"/>
                <w:sz w:val="28"/>
                <w:szCs w:val="28"/>
                <w:u w:val="none"/>
                <w:lang w:eastAsia="zh-CN"/>
              </w:rPr>
              <w:t>第一部分</w:t>
            </w:r>
            <w:r>
              <w:rPr>
                <w:rFonts w:hint="eastAsia" w:ascii="方正仿宋_GBK" w:hAnsi="方正仿宋_GBK" w:eastAsia="方正仿宋_GBK" w:cs="方正仿宋_GBK"/>
                <w:b/>
                <w:i w:val="0"/>
                <w:color w:val="auto"/>
                <w:sz w:val="28"/>
                <w:szCs w:val="28"/>
                <w:u w:val="none"/>
                <w:lang w:val="en-US" w:eastAsia="zh-CN"/>
              </w:rPr>
              <w:t xml:space="preserve">  药品</w:t>
            </w:r>
            <w:r>
              <w:rPr>
                <w:rFonts w:hint="eastAsia" w:ascii="方正仿宋_GBK" w:hAnsi="方正仿宋_GBK" w:eastAsia="方正仿宋_GBK" w:cs="方正仿宋_GBK"/>
                <w:b/>
                <w:i w:val="0"/>
                <w:color w:val="auto"/>
                <w:kern w:val="0"/>
                <w:sz w:val="28"/>
                <w:szCs w:val="28"/>
                <w:u w:val="none"/>
                <w:lang w:val="en-US" w:eastAsia="zh-CN" w:bidi="ar"/>
              </w:rPr>
              <w:t>法律法规合规性</w:t>
            </w:r>
          </w:p>
        </w:tc>
      </w:tr>
      <w:tr w14:paraId="4A104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509" w:type="dxa"/>
            <w:tcBorders>
              <w:tl2br w:val="nil"/>
              <w:tr2bl w:val="nil"/>
            </w:tcBorders>
            <w:noWrap w:val="0"/>
            <w:tcMar>
              <w:top w:w="15" w:type="dxa"/>
              <w:left w:w="15" w:type="dxa"/>
              <w:right w:w="15" w:type="dxa"/>
            </w:tcMar>
            <w:vAlign w:val="center"/>
          </w:tcPr>
          <w:p w14:paraId="6E88AE8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方正黑体_GBK" w:hAnsi="方正黑体_GBK" w:eastAsia="方正黑体_GBK" w:cs="方正黑体_GBK"/>
                <w:b w:val="0"/>
                <w:bCs w:val="0"/>
                <w:i w:val="0"/>
                <w:color w:val="auto"/>
                <w:kern w:val="0"/>
                <w:sz w:val="28"/>
                <w:szCs w:val="28"/>
                <w:u w:val="none"/>
                <w:lang w:val="en-US" w:eastAsia="zh-CN" w:bidi="ar"/>
              </w:rPr>
            </w:pPr>
            <w:r>
              <w:rPr>
                <w:rFonts w:hint="eastAsia" w:ascii="方正黑体_GBK" w:hAnsi="方正黑体_GBK" w:eastAsia="方正黑体_GBK" w:cs="方正黑体_GBK"/>
                <w:b w:val="0"/>
                <w:bCs w:val="0"/>
                <w:i w:val="0"/>
                <w:color w:val="auto"/>
                <w:kern w:val="0"/>
                <w:sz w:val="28"/>
                <w:szCs w:val="28"/>
                <w:u w:val="none"/>
                <w:lang w:val="en-US" w:eastAsia="zh-CN" w:bidi="ar"/>
              </w:rPr>
              <w:t>检查项目</w:t>
            </w:r>
          </w:p>
        </w:tc>
        <w:tc>
          <w:tcPr>
            <w:tcW w:w="7476" w:type="dxa"/>
            <w:tcBorders>
              <w:tl2br w:val="nil"/>
              <w:tr2bl w:val="nil"/>
            </w:tcBorders>
            <w:noWrap w:val="0"/>
            <w:tcMar>
              <w:top w:w="15" w:type="dxa"/>
              <w:left w:w="15" w:type="dxa"/>
              <w:right w:w="15" w:type="dxa"/>
            </w:tcMar>
            <w:vAlign w:val="center"/>
          </w:tcPr>
          <w:p w14:paraId="7BD5252E">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方正黑体_GBK" w:hAnsi="方正黑体_GBK" w:eastAsia="方正黑体_GBK" w:cs="方正黑体_GBK"/>
                <w:b w:val="0"/>
                <w:bCs w:val="0"/>
                <w:i w:val="0"/>
                <w:color w:val="auto"/>
                <w:kern w:val="0"/>
                <w:sz w:val="28"/>
                <w:szCs w:val="28"/>
                <w:u w:val="none"/>
                <w:lang w:val="en-US" w:eastAsia="zh-CN" w:bidi="ar"/>
              </w:rPr>
            </w:pPr>
            <w:r>
              <w:rPr>
                <w:rFonts w:hint="eastAsia" w:ascii="方正黑体_GBK" w:hAnsi="方正黑体_GBK" w:eastAsia="方正黑体_GBK" w:cs="方正黑体_GBK"/>
                <w:b w:val="0"/>
                <w:bCs w:val="0"/>
                <w:i w:val="0"/>
                <w:color w:val="auto"/>
                <w:kern w:val="0"/>
                <w:sz w:val="28"/>
                <w:szCs w:val="28"/>
                <w:u w:val="none"/>
                <w:lang w:val="en-US" w:eastAsia="zh-CN" w:bidi="ar"/>
              </w:rPr>
              <w:t>许可标准</w:t>
            </w:r>
          </w:p>
        </w:tc>
        <w:tc>
          <w:tcPr>
            <w:tcW w:w="5515" w:type="dxa"/>
            <w:gridSpan w:val="2"/>
            <w:tcBorders>
              <w:tl2br w:val="nil"/>
              <w:tr2bl w:val="nil"/>
            </w:tcBorders>
            <w:noWrap w:val="0"/>
            <w:tcMar>
              <w:top w:w="15" w:type="dxa"/>
              <w:left w:w="15" w:type="dxa"/>
              <w:right w:w="15" w:type="dxa"/>
            </w:tcMar>
            <w:vAlign w:val="center"/>
          </w:tcPr>
          <w:p w14:paraId="4E2D904D">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center"/>
              <w:rPr>
                <w:rFonts w:hint="eastAsia" w:ascii="方正黑体_GBK" w:hAnsi="方正黑体_GBK" w:eastAsia="方正黑体_GBK" w:cs="方正黑体_GBK"/>
                <w:b w:val="0"/>
                <w:bCs w:val="0"/>
                <w:i w:val="0"/>
                <w:color w:val="auto"/>
                <w:kern w:val="0"/>
                <w:sz w:val="28"/>
                <w:szCs w:val="28"/>
                <w:u w:val="none"/>
                <w:lang w:val="en-US" w:eastAsia="zh-CN" w:bidi="ar"/>
              </w:rPr>
            </w:pPr>
            <w:r>
              <w:rPr>
                <w:rFonts w:hint="eastAsia" w:ascii="方正黑体_GBK" w:hAnsi="方正黑体_GBK" w:eastAsia="方正黑体_GBK" w:cs="方正黑体_GBK"/>
                <w:b w:val="0"/>
                <w:bCs w:val="0"/>
                <w:i w:val="0"/>
                <w:color w:val="auto"/>
                <w:kern w:val="0"/>
                <w:sz w:val="28"/>
                <w:szCs w:val="28"/>
                <w:u w:val="none"/>
                <w:lang w:val="en-US" w:eastAsia="zh-CN" w:bidi="ar"/>
              </w:rPr>
              <w:t>检查要点</w:t>
            </w:r>
          </w:p>
        </w:tc>
      </w:tr>
      <w:tr w14:paraId="2DA5F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1" w:hRule="atLeast"/>
          <w:jc w:val="center"/>
        </w:trPr>
        <w:tc>
          <w:tcPr>
            <w:tcW w:w="1509" w:type="dxa"/>
            <w:tcBorders>
              <w:tl2br w:val="nil"/>
              <w:tr2bl w:val="nil"/>
            </w:tcBorders>
            <w:noWrap w:val="0"/>
            <w:tcMar>
              <w:top w:w="15" w:type="dxa"/>
              <w:left w:w="15" w:type="dxa"/>
              <w:right w:w="15" w:type="dxa"/>
            </w:tcMar>
            <w:vAlign w:val="center"/>
          </w:tcPr>
          <w:p w14:paraId="532520C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b/>
                <w:bCs/>
                <w:i w:val="0"/>
                <w:color w:val="auto"/>
                <w:kern w:val="0"/>
                <w:sz w:val="28"/>
                <w:szCs w:val="28"/>
                <w:u w:val="none"/>
                <w:lang w:val="en-US" w:eastAsia="zh-CN" w:bidi="ar"/>
              </w:rPr>
              <w:t>（一）</w:t>
            </w:r>
            <w:r>
              <w:rPr>
                <w:rFonts w:hint="eastAsia" w:ascii="方正仿宋_GBK" w:hAnsi="方正仿宋_GBK" w:eastAsia="方正仿宋_GBK" w:cs="方正仿宋_GBK"/>
                <w:b/>
                <w:bCs/>
                <w:i w:val="0"/>
                <w:color w:val="auto"/>
                <w:kern w:val="0"/>
                <w:sz w:val="28"/>
                <w:szCs w:val="28"/>
                <w:u w:val="none"/>
                <w:lang w:val="en-US" w:eastAsia="zh-CN" w:bidi="ar"/>
              </w:rPr>
              <w:t>基本条件合规性审核</w:t>
            </w:r>
          </w:p>
        </w:tc>
        <w:tc>
          <w:tcPr>
            <w:tcW w:w="7476" w:type="dxa"/>
            <w:tcBorders>
              <w:tl2br w:val="nil"/>
              <w:tr2bl w:val="nil"/>
            </w:tcBorders>
            <w:noWrap w:val="0"/>
            <w:tcMar>
              <w:top w:w="15" w:type="dxa"/>
              <w:left w:w="15" w:type="dxa"/>
              <w:right w:w="15" w:type="dxa"/>
            </w:tcMar>
            <w:vAlign w:val="center"/>
          </w:tcPr>
          <w:p w14:paraId="1EA7BDE7">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1.应当有特殊药品管理法律法规规定的第二类精神药品储存条件以及安全管理监控系统。</w:t>
            </w:r>
          </w:p>
          <w:p w14:paraId="2F114E71">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2.应当具有第二类精神药品安全经营管理制度以及按照药品经查场地主文件要求报告经营信息和趋势分析数据。</w:t>
            </w:r>
          </w:p>
          <w:p w14:paraId="3B068950">
            <w:pPr>
              <w:pStyle w:val="2"/>
              <w:rPr>
                <w:rFonts w:hint="default"/>
                <w:lang w:val="en-US" w:eastAsia="zh-CN"/>
              </w:rPr>
            </w:pPr>
            <w:r>
              <w:rPr>
                <w:rFonts w:hint="eastAsia" w:ascii="方正仿宋_GBK" w:hAnsi="方正仿宋_GBK" w:eastAsia="方正仿宋_GBK" w:cs="方正仿宋_GBK"/>
                <w:i w:val="0"/>
                <w:color w:val="auto"/>
                <w:kern w:val="0"/>
                <w:sz w:val="28"/>
                <w:szCs w:val="28"/>
                <w:u w:val="none"/>
                <w:lang w:val="en-US" w:eastAsia="zh-CN" w:bidi="ar"/>
              </w:rPr>
              <w:t>3.应当配备相对稳定的麻醉药品、精神药品管理人员和相关业务人员。</w:t>
            </w:r>
          </w:p>
          <w:p w14:paraId="281F9993">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4企业关键人员、与第二类精神药品经营活动相关人员两年内没有违反有关禁毒的法律、法规规定的行为。</w:t>
            </w:r>
          </w:p>
          <w:p w14:paraId="5E337BD3">
            <w:pPr>
              <w:pStyle w:val="3"/>
              <w:keepNext w:val="0"/>
              <w:keepLines w:val="0"/>
              <w:pageBreakBefore w:val="0"/>
              <w:numPr>
                <w:ilvl w:val="0"/>
                <w:numId w:val="0"/>
              </w:numPr>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spacing w:val="-6"/>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w:t>
            </w:r>
            <w:r>
              <w:rPr>
                <w:rFonts w:hint="eastAsia" w:ascii="方正仿宋_GBK" w:hAnsi="方正仿宋_GBK" w:eastAsia="方正仿宋_GBK" w:cs="方正仿宋_GBK"/>
                <w:i w:val="0"/>
                <w:color w:val="auto"/>
                <w:spacing w:val="-6"/>
                <w:kern w:val="0"/>
                <w:sz w:val="28"/>
                <w:szCs w:val="28"/>
                <w:u w:val="none"/>
                <w:lang w:val="en-US" w:eastAsia="zh-CN" w:bidi="ar"/>
              </w:rPr>
              <w:t>申请人应当符合第二类精神药品供药责任区定点布局要求，具有保证供应责任区域内医疗机构等所需第二类精神药品的能力。</w:t>
            </w:r>
          </w:p>
          <w:p w14:paraId="149EB369">
            <w:pPr>
              <w:pStyle w:val="3"/>
              <w:keepNext w:val="0"/>
              <w:keepLines w:val="0"/>
              <w:pageBreakBefore w:val="0"/>
              <w:numPr>
                <w:ilvl w:val="0"/>
                <w:numId w:val="0"/>
              </w:numPr>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spacing w:val="-6"/>
                <w:kern w:val="0"/>
                <w:sz w:val="28"/>
                <w:szCs w:val="28"/>
                <w:u w:val="none"/>
                <w:lang w:val="en-US" w:eastAsia="zh-CN" w:bidi="ar"/>
              </w:rPr>
              <w:t>6.</w:t>
            </w:r>
            <w:r>
              <w:rPr>
                <w:rFonts w:hint="eastAsia" w:ascii="方正仿宋_GBK" w:hAnsi="方正仿宋_GBK" w:eastAsia="方正仿宋_GBK" w:cs="方正仿宋_GBK"/>
                <w:i w:val="0"/>
                <w:color w:val="auto"/>
                <w:kern w:val="0"/>
                <w:sz w:val="28"/>
                <w:szCs w:val="28"/>
                <w:u w:val="none"/>
                <w:lang w:val="en-US" w:eastAsia="zh-CN" w:bidi="ar"/>
              </w:rPr>
              <w:t>新开办的药品经营批发企业经营第二类精神药品或申请专门从事第二类精神药品的新开办批发企业应当符合《湖北省药品现代物流质量安全标准》。</w:t>
            </w:r>
          </w:p>
          <w:p w14:paraId="6F313155">
            <w:pPr>
              <w:keepNext w:val="0"/>
              <w:keepLines w:val="0"/>
              <w:pageBreakBefore w:val="0"/>
              <w:numPr>
                <w:ilvl w:val="0"/>
                <w:numId w:val="0"/>
              </w:numPr>
              <w:kinsoku/>
              <w:wordWrap/>
              <w:overflowPunct/>
              <w:topLinePunct w:val="0"/>
              <w:autoSpaceDE/>
              <w:autoSpaceDN/>
              <w:bidi w:val="0"/>
              <w:adjustRightInd/>
              <w:spacing w:line="400" w:lineRule="exact"/>
              <w:ind w:leftChars="0" w:right="0" w:rightChars="0"/>
              <w:jc w:val="both"/>
              <w:rPr>
                <w:rFonts w:hint="eastAsia" w:ascii="方正仿宋_GBK" w:hAnsi="方正仿宋_GBK" w:eastAsia="方正仿宋_GBK" w:cs="方正仿宋_GBK"/>
                <w:i w:val="0"/>
                <w:color w:val="auto"/>
                <w:kern w:val="0"/>
                <w:sz w:val="28"/>
                <w:szCs w:val="28"/>
                <w:u w:val="none"/>
                <w:lang w:val="en-US" w:eastAsia="zh-CN" w:bidi="ar"/>
              </w:rPr>
            </w:pPr>
          </w:p>
          <w:p w14:paraId="2427410E">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sz w:val="28"/>
                <w:szCs w:val="28"/>
                <w:lang w:val="en-US" w:eastAsia="zh-CN"/>
              </w:rPr>
            </w:pPr>
          </w:p>
        </w:tc>
        <w:tc>
          <w:tcPr>
            <w:tcW w:w="5515" w:type="dxa"/>
            <w:gridSpan w:val="2"/>
            <w:tcBorders>
              <w:tl2br w:val="nil"/>
              <w:tr2bl w:val="nil"/>
            </w:tcBorders>
            <w:noWrap w:val="0"/>
            <w:tcMar>
              <w:top w:w="15" w:type="dxa"/>
              <w:left w:w="15" w:type="dxa"/>
              <w:right w:w="15" w:type="dxa"/>
            </w:tcMar>
            <w:vAlign w:val="center"/>
          </w:tcPr>
          <w:p w14:paraId="50BC489B">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不符合本检查内容其中之一的，直接判定为严重缺陷。</w:t>
            </w:r>
          </w:p>
          <w:p w14:paraId="46F29DF5">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2.有关评估要点参照第二部分及第三部分第二类精神药品安全管理标准符合性要求。</w:t>
            </w:r>
          </w:p>
          <w:p w14:paraId="07437B63">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sz w:val="28"/>
                <w:szCs w:val="28"/>
                <w:lang w:val="en-US" w:eastAsia="zh-CN"/>
              </w:rPr>
            </w:pPr>
          </w:p>
        </w:tc>
      </w:tr>
      <w:tr w14:paraId="4A528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71" w:type="dxa"/>
          <w:trHeight w:val="570" w:hRule="atLeast"/>
          <w:jc w:val="center"/>
        </w:trPr>
        <w:tc>
          <w:tcPr>
            <w:tcW w:w="13829" w:type="dxa"/>
            <w:gridSpan w:val="3"/>
            <w:tcBorders>
              <w:tl2br w:val="nil"/>
              <w:tr2bl w:val="nil"/>
            </w:tcBorders>
            <w:noWrap w:val="0"/>
            <w:tcMar>
              <w:top w:w="15" w:type="dxa"/>
              <w:left w:w="15" w:type="dxa"/>
              <w:right w:w="15" w:type="dxa"/>
            </w:tcMar>
            <w:vAlign w:val="center"/>
          </w:tcPr>
          <w:p w14:paraId="14650B88">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top"/>
              <w:rPr>
                <w:rFonts w:hint="eastAsia" w:ascii="方正仿宋_GBK" w:hAnsi="方正仿宋_GBK" w:eastAsia="方正仿宋_GBK" w:cs="方正仿宋_GBK"/>
                <w:b/>
                <w:i w:val="0"/>
                <w:strike w:val="0"/>
                <w:dstrike w:val="0"/>
                <w:color w:val="auto"/>
                <w:sz w:val="28"/>
                <w:szCs w:val="28"/>
                <w:u w:val="none"/>
                <w:lang w:val="en-US" w:eastAsia="zh-CN"/>
              </w:rPr>
            </w:pPr>
            <w:r>
              <w:rPr>
                <w:rFonts w:hint="eastAsia" w:ascii="方正仿宋_GBK" w:hAnsi="方正仿宋_GBK" w:eastAsia="方正仿宋_GBK" w:cs="方正仿宋_GBK"/>
                <w:b/>
                <w:i w:val="0"/>
                <w:color w:val="auto"/>
                <w:kern w:val="0"/>
                <w:sz w:val="28"/>
                <w:szCs w:val="28"/>
                <w:u w:val="none"/>
                <w:lang w:val="en-US" w:eastAsia="zh-CN" w:bidi="ar"/>
              </w:rPr>
              <w:t>第二部分  批发企业及连锁总部第二类精神药品质量安全标准符合性</w:t>
            </w:r>
          </w:p>
        </w:tc>
      </w:tr>
      <w:tr w14:paraId="631D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9" w:type="dxa"/>
            <w:tcBorders>
              <w:tl2br w:val="nil"/>
              <w:tr2bl w:val="nil"/>
            </w:tcBorders>
            <w:noWrap w:val="0"/>
            <w:tcMar>
              <w:top w:w="15" w:type="dxa"/>
              <w:left w:w="15" w:type="dxa"/>
              <w:right w:w="15" w:type="dxa"/>
            </w:tcMar>
            <w:vAlign w:val="center"/>
          </w:tcPr>
          <w:p w14:paraId="3BB08E84">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w:t>
            </w:r>
            <w:r>
              <w:rPr>
                <w:rFonts w:hint="eastAsia" w:ascii="方正仿宋_GBK" w:hAnsi="方正仿宋_GBK" w:cs="方正仿宋_GBK"/>
                <w:i w:val="0"/>
                <w:color w:val="auto"/>
                <w:kern w:val="0"/>
                <w:sz w:val="28"/>
                <w:szCs w:val="28"/>
                <w:u w:val="none"/>
                <w:lang w:val="en-US" w:eastAsia="zh-CN" w:bidi="ar"/>
              </w:rPr>
              <w:t>二</w:t>
            </w:r>
            <w:r>
              <w:rPr>
                <w:rFonts w:hint="eastAsia" w:ascii="方正仿宋_GBK" w:hAnsi="方正仿宋_GBK" w:eastAsia="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b/>
                <w:bCs/>
                <w:i w:val="0"/>
                <w:color w:val="auto"/>
                <w:kern w:val="0"/>
                <w:sz w:val="28"/>
                <w:szCs w:val="28"/>
                <w:u w:val="none"/>
                <w:lang w:val="en-US" w:eastAsia="zh-CN" w:bidi="ar"/>
              </w:rPr>
              <w:t>资质与定点</w:t>
            </w:r>
          </w:p>
        </w:tc>
        <w:tc>
          <w:tcPr>
            <w:tcW w:w="7476" w:type="dxa"/>
            <w:tcBorders>
              <w:tl2br w:val="nil"/>
              <w:tr2bl w:val="nil"/>
            </w:tcBorders>
            <w:noWrap w:val="0"/>
            <w:tcMar>
              <w:top w:w="15" w:type="dxa"/>
              <w:left w:w="15" w:type="dxa"/>
              <w:right w:w="15" w:type="dxa"/>
            </w:tcMar>
            <w:vAlign w:val="center"/>
          </w:tcPr>
          <w:p w14:paraId="368390C4">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7.药品批发企业及零售连锁企业应当取得《药品经营许可证》，且近三年（含不足三年）每年药品经营质量管理规范符合性检查结果符合规定。对新开办药品批发企业及零售连锁企业申请第二类精神药品经营范围还应当符合《湖北省药品现代物流质量安全管理标准》。</w:t>
            </w:r>
          </w:p>
          <w:p w14:paraId="4A09FD67">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8.定点基本要求：</w:t>
            </w:r>
          </w:p>
          <w:p w14:paraId="4F79C362">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1）近三年，企业经营规模、效益等综合指标评价在本地区（设区的地级市为评价单元）药品经营行业中应当位居前列。或取得《药品经营许可证》满一年但不足三年的企业，其经营网络及配送区域应当覆盖本地区80％以上（以地级市下设区、县为评价单元）；</w:t>
            </w:r>
          </w:p>
          <w:p w14:paraId="4FCEA9C7">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（2）药品零售连锁企业自行设立的所属连锁门店数量应不少于15家；</w:t>
            </w:r>
          </w:p>
          <w:p w14:paraId="60291864">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（3）除同法人批零一体化企业外，应当自行设立药品仓库，不得委托储存配送；</w:t>
            </w:r>
          </w:p>
          <w:p w14:paraId="4D2621B5">
            <w:pPr>
              <w:pStyle w:val="2"/>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（4）申请人所在行政区（市、州）</w:t>
            </w:r>
            <w:r>
              <w:rPr>
                <w:rFonts w:hint="eastAsia" w:ascii="方正仿宋_GBK" w:hAnsi="方正仿宋_GBK" w:eastAsia="方正仿宋_GBK" w:cs="方正仿宋_GBK"/>
                <w:i w:val="0"/>
                <w:color w:val="auto"/>
                <w:kern w:val="0"/>
                <w:sz w:val="28"/>
                <w:szCs w:val="28"/>
                <w:u w:val="none"/>
                <w:lang w:val="en-US" w:eastAsia="zh-CN" w:bidi="ar"/>
              </w:rPr>
              <w:t>第二类精神药品经营企业定点数量不能满足本辖区第二类精神药品供药需求。</w:t>
            </w:r>
          </w:p>
          <w:p w14:paraId="4A3ECD22">
            <w:pPr>
              <w:pStyle w:val="2"/>
              <w:rPr>
                <w:rFonts w:hint="eastAsia"/>
                <w:lang w:val="en-US" w:eastAsia="zh-CN"/>
              </w:rPr>
            </w:pPr>
            <w:r>
              <w:rPr>
                <w:rFonts w:hint="eastAsia" w:ascii="方正仿宋_GBK" w:hAnsi="方正仿宋_GBK" w:eastAsia="方正仿宋_GBK" w:cs="方正仿宋_GBK"/>
                <w:i w:val="0"/>
                <w:color w:val="auto"/>
                <w:kern w:val="0"/>
                <w:sz w:val="28"/>
                <w:szCs w:val="28"/>
                <w:u w:val="none"/>
                <w:lang w:val="en-US" w:eastAsia="zh-CN" w:bidi="ar"/>
              </w:rPr>
              <w:t>（5）</w:t>
            </w:r>
            <w:r>
              <w:rPr>
                <w:rFonts w:hint="eastAsia" w:ascii="方正仿宋_GBK" w:hAnsi="方正仿宋_GBK" w:eastAsia="方正仿宋_GBK" w:cs="方正仿宋_GBK"/>
                <w:i w:val="0"/>
                <w:color w:val="auto"/>
                <w:spacing w:val="-6"/>
                <w:kern w:val="0"/>
                <w:sz w:val="28"/>
                <w:szCs w:val="28"/>
                <w:u w:val="none"/>
                <w:lang w:val="en-US" w:eastAsia="zh-CN" w:bidi="ar"/>
              </w:rPr>
              <w:t>具有保证供应责任区域内医疗机构等所需第二类精神药品的能力。</w:t>
            </w:r>
          </w:p>
        </w:tc>
        <w:tc>
          <w:tcPr>
            <w:tcW w:w="5515" w:type="dxa"/>
            <w:gridSpan w:val="2"/>
            <w:tcBorders>
              <w:tl2br w:val="nil"/>
              <w:tr2bl w:val="nil"/>
            </w:tcBorders>
            <w:noWrap w:val="0"/>
            <w:tcMar>
              <w:top w:w="15" w:type="dxa"/>
              <w:left w:w="15" w:type="dxa"/>
              <w:right w:w="15" w:type="dxa"/>
            </w:tcMar>
            <w:vAlign w:val="center"/>
          </w:tcPr>
          <w:p w14:paraId="42492616">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1</w:t>
            </w:r>
            <w:r>
              <w:rPr>
                <w:rFonts w:hint="eastAsia" w:ascii="方正仿宋_GBK" w:hAnsi="方正仿宋_GBK" w:eastAsia="方正仿宋_GBK" w:cs="方正仿宋_GBK"/>
                <w:i w:val="0"/>
                <w:color w:val="auto"/>
                <w:kern w:val="0"/>
                <w:sz w:val="28"/>
                <w:szCs w:val="28"/>
                <w:u w:val="none"/>
                <w:lang w:val="en-US" w:eastAsia="zh-CN" w:bidi="ar"/>
              </w:rPr>
              <w:t>.执行的检查标准要求见本标准说明第四部分。</w:t>
            </w:r>
          </w:p>
          <w:p w14:paraId="50D56372">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w:t>
            </w:r>
            <w:r>
              <w:rPr>
                <w:rFonts w:hint="eastAsia" w:ascii="方正仿宋_GBK" w:hAnsi="方正仿宋_GBK" w:eastAsia="方正仿宋_GBK" w:cs="方正仿宋_GBK"/>
                <w:i w:val="0"/>
                <w:color w:val="auto"/>
                <w:kern w:val="0"/>
                <w:sz w:val="28"/>
                <w:szCs w:val="28"/>
                <w:u w:val="none"/>
                <w:lang w:val="en-US" w:eastAsia="zh-CN" w:bidi="ar"/>
              </w:rPr>
              <w:t>.</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不符合本检查内容7、8（2）（3）（5）的，直接判定为严重缺陷。</w:t>
            </w:r>
          </w:p>
          <w:p w14:paraId="5D7DAE82">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3.*不符合本检查内容8（1）（4）的，判定为一般缺陷。</w:t>
            </w:r>
          </w:p>
          <w:p w14:paraId="76C2A45B">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sz w:val="28"/>
                <w:szCs w:val="28"/>
                <w:lang w:val="en-US" w:eastAsia="zh-CN"/>
              </w:rPr>
            </w:pPr>
          </w:p>
        </w:tc>
      </w:tr>
      <w:tr w14:paraId="04DDB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1509" w:type="dxa"/>
            <w:tcBorders>
              <w:tl2br w:val="nil"/>
              <w:tr2bl w:val="nil"/>
            </w:tcBorders>
            <w:noWrap w:val="0"/>
            <w:tcMar>
              <w:top w:w="15" w:type="dxa"/>
              <w:left w:w="15" w:type="dxa"/>
              <w:right w:w="15" w:type="dxa"/>
            </w:tcMar>
            <w:vAlign w:val="center"/>
          </w:tcPr>
          <w:p w14:paraId="112ED9F3">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bCs/>
                <w:i w:val="0"/>
                <w:color w:val="auto"/>
                <w:kern w:val="0"/>
                <w:sz w:val="28"/>
                <w:szCs w:val="28"/>
                <w:u w:val="none"/>
                <w:lang w:val="en-US" w:eastAsia="zh-CN" w:bidi="ar"/>
              </w:rPr>
              <w:t>（</w:t>
            </w:r>
            <w:r>
              <w:rPr>
                <w:rFonts w:hint="eastAsia" w:ascii="方正仿宋_GBK" w:hAnsi="方正仿宋_GBK" w:cs="方正仿宋_GBK"/>
                <w:b/>
                <w:bCs/>
                <w:i w:val="0"/>
                <w:color w:val="auto"/>
                <w:kern w:val="0"/>
                <w:sz w:val="28"/>
                <w:szCs w:val="28"/>
                <w:u w:val="none"/>
                <w:lang w:val="en-US" w:eastAsia="zh-CN" w:bidi="ar"/>
              </w:rPr>
              <w:t>三</w:t>
            </w:r>
            <w:r>
              <w:rPr>
                <w:rFonts w:hint="eastAsia" w:ascii="方正仿宋_GBK" w:hAnsi="方正仿宋_GBK" w:eastAsia="方正仿宋_GBK" w:cs="方正仿宋_GBK"/>
                <w:b/>
                <w:bCs/>
                <w:i w:val="0"/>
                <w:color w:val="auto"/>
                <w:kern w:val="0"/>
                <w:sz w:val="28"/>
                <w:szCs w:val="28"/>
                <w:u w:val="none"/>
                <w:lang w:val="en-US" w:eastAsia="zh-CN" w:bidi="ar"/>
              </w:rPr>
              <w:t>）机构与人员</w:t>
            </w:r>
          </w:p>
        </w:tc>
        <w:tc>
          <w:tcPr>
            <w:tcW w:w="7476" w:type="dxa"/>
            <w:tcBorders>
              <w:tl2br w:val="nil"/>
              <w:tr2bl w:val="nil"/>
            </w:tcBorders>
            <w:noWrap w:val="0"/>
            <w:tcMar>
              <w:top w:w="15" w:type="dxa"/>
              <w:left w:w="15" w:type="dxa"/>
              <w:right w:w="15" w:type="dxa"/>
            </w:tcMar>
            <w:vAlign w:val="center"/>
          </w:tcPr>
          <w:p w14:paraId="55A3CF89">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default" w:ascii="方正仿宋_GBK" w:hAnsi="方正仿宋_GBK" w:eastAsia="方正仿宋_GBK" w:cs="方正仿宋_GBK"/>
                <w:i w:val="0"/>
                <w:color w:val="auto"/>
                <w:kern w:val="0"/>
                <w:sz w:val="28"/>
                <w:szCs w:val="28"/>
                <w:u w:val="none"/>
                <w:lang w:val="en" w:eastAsia="zh-CN" w:bidi="ar"/>
              </w:rPr>
              <w:t>9</w:t>
            </w:r>
            <w:r>
              <w:rPr>
                <w:rFonts w:hint="eastAsia" w:ascii="方正仿宋_GBK" w:hAnsi="方正仿宋_GBK" w:eastAsia="方正仿宋_GBK" w:cs="方正仿宋_GBK"/>
                <w:i w:val="0"/>
                <w:color w:val="auto"/>
                <w:kern w:val="0"/>
                <w:sz w:val="28"/>
                <w:szCs w:val="28"/>
                <w:u w:val="none"/>
                <w:lang w:val="en-US" w:eastAsia="zh-CN" w:bidi="ar"/>
              </w:rPr>
              <w:t>.应当建立第二类精神药品管理机构或指定专人，保证第二类精神药品的安全管理。机构各部门之间能各司其职、各负其责，并能有效互相制约、互相监督。</w:t>
            </w:r>
          </w:p>
          <w:p w14:paraId="50278A68">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0</w:t>
            </w:r>
            <w:r>
              <w:rPr>
                <w:rFonts w:hint="eastAsia" w:ascii="方正仿宋_GBK" w:hAnsi="方正仿宋_GBK" w:eastAsia="方正仿宋_GBK" w:cs="方正仿宋_GBK"/>
                <w:i w:val="0"/>
                <w:color w:val="auto"/>
                <w:kern w:val="0"/>
                <w:sz w:val="28"/>
                <w:szCs w:val="28"/>
                <w:u w:val="none"/>
                <w:lang w:val="en-US" w:eastAsia="zh-CN" w:bidi="ar"/>
              </w:rPr>
              <w:t>.企业法定代表人应当为第二类精神药品经营安全管理第一责任人。经营企业应当确定专门人员负责第二类精神药品管理工作。</w:t>
            </w:r>
          </w:p>
          <w:p w14:paraId="6AA8CC7B">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1</w:t>
            </w:r>
            <w:r>
              <w:rPr>
                <w:rFonts w:hint="eastAsia" w:ascii="方正仿宋_GBK" w:hAnsi="方正仿宋_GBK" w:eastAsia="方正仿宋_GBK" w:cs="方正仿宋_GBK"/>
                <w:i w:val="0"/>
                <w:color w:val="auto"/>
                <w:kern w:val="0"/>
                <w:sz w:val="28"/>
                <w:szCs w:val="28"/>
                <w:u w:val="none"/>
                <w:lang w:val="en-US" w:eastAsia="zh-CN" w:bidi="ar"/>
              </w:rPr>
              <w:t>.企业及其工作人员最近2年内无违反有关禁毒法律、行政法规规定的行为。</w:t>
            </w:r>
          </w:p>
          <w:p w14:paraId="4345ECBE">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12.应当制定第二类精神药品管理机构及相关人员质量和安全职责，明确各级机构和人员的安全管理职责。</w:t>
            </w:r>
          </w:p>
          <w:p w14:paraId="0B13CCF4">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13.经营企业负责人、质量负责人、管理人员、直接业务人员应当熟悉第二类精神药品管理的相关知识和法律法规；企业管理人员、直接业务人员应当保持相对稳定。其中质量负责人应当为执业药师。</w:t>
            </w:r>
          </w:p>
          <w:p w14:paraId="6AFEE57C">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14.管理人员、直接业务人员应当每年按计划接受特殊药品有关管理培训，并不少于10学时。</w:t>
            </w:r>
          </w:p>
        </w:tc>
        <w:tc>
          <w:tcPr>
            <w:tcW w:w="5515" w:type="dxa"/>
            <w:gridSpan w:val="2"/>
            <w:tcBorders>
              <w:tl2br w:val="nil"/>
              <w:tr2bl w:val="nil"/>
            </w:tcBorders>
            <w:noWrap w:val="0"/>
            <w:tcMar>
              <w:top w:w="15" w:type="dxa"/>
              <w:left w:w="15" w:type="dxa"/>
              <w:right w:w="15" w:type="dxa"/>
            </w:tcMar>
            <w:vAlign w:val="center"/>
          </w:tcPr>
          <w:p w14:paraId="32E82907">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1</w:t>
            </w:r>
            <w:r>
              <w:rPr>
                <w:rFonts w:hint="eastAsia" w:ascii="方正仿宋_GBK" w:hAnsi="方正仿宋_GBK" w:eastAsia="方正仿宋_GBK" w:cs="方正仿宋_GBK"/>
                <w:i w:val="0"/>
                <w:color w:val="auto"/>
                <w:kern w:val="0"/>
                <w:sz w:val="28"/>
                <w:szCs w:val="28"/>
                <w:u w:val="none"/>
                <w:lang w:val="en-US" w:eastAsia="zh-CN" w:bidi="ar"/>
              </w:rPr>
              <w:t>.**未配备专门机构或指定专人负责第二类精神药品安全管理。</w:t>
            </w:r>
          </w:p>
          <w:p w14:paraId="0F44F43E">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cs="方正仿宋_GBK"/>
                <w:i w:val="0"/>
                <w:color w:val="auto"/>
                <w:kern w:val="0"/>
                <w:sz w:val="28"/>
                <w:szCs w:val="28"/>
                <w:u w:val="none"/>
                <w:lang w:val="en-US" w:eastAsia="zh-CN" w:bidi="ar"/>
              </w:rPr>
              <w:t>2</w:t>
            </w:r>
            <w:r>
              <w:rPr>
                <w:rFonts w:hint="eastAsia" w:ascii="方正仿宋_GBK" w:hAnsi="方正仿宋_GBK" w:eastAsia="方正仿宋_GBK" w:cs="方正仿宋_GBK"/>
                <w:i w:val="0"/>
                <w:color w:val="auto"/>
                <w:kern w:val="0"/>
                <w:sz w:val="28"/>
                <w:szCs w:val="28"/>
                <w:u w:val="none"/>
                <w:lang w:val="en-US" w:eastAsia="zh-CN" w:bidi="ar"/>
              </w:rPr>
              <w:t>.**关键人员及相关人员有违反有关禁毒的法律、行政法规规定的行为。</w:t>
            </w:r>
          </w:p>
        </w:tc>
      </w:tr>
      <w:tr w14:paraId="15E4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9" w:type="dxa"/>
            <w:tcBorders>
              <w:tl2br w:val="nil"/>
              <w:tr2bl w:val="nil"/>
            </w:tcBorders>
            <w:noWrap w:val="0"/>
            <w:tcMar>
              <w:top w:w="15" w:type="dxa"/>
              <w:left w:w="15" w:type="dxa"/>
              <w:right w:w="15" w:type="dxa"/>
            </w:tcMar>
            <w:vAlign w:val="center"/>
          </w:tcPr>
          <w:p w14:paraId="03B69F4D">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b/>
                <w:bCs/>
                <w:i w:val="0"/>
                <w:color w:val="auto"/>
                <w:sz w:val="28"/>
                <w:szCs w:val="28"/>
                <w:u w:val="none"/>
                <w:lang w:val="en-US" w:eastAsia="zh-CN"/>
              </w:rPr>
            </w:pPr>
            <w:r>
              <w:rPr>
                <w:rFonts w:hint="eastAsia" w:ascii="方正仿宋_GBK" w:hAnsi="方正仿宋_GBK" w:eastAsia="方正仿宋_GBK" w:cs="方正仿宋_GBK"/>
                <w:b/>
                <w:bCs/>
                <w:i w:val="0"/>
                <w:color w:val="auto"/>
                <w:sz w:val="28"/>
                <w:szCs w:val="28"/>
                <w:u w:val="none"/>
                <w:lang w:eastAsia="zh-CN"/>
              </w:rPr>
              <w:t>（</w:t>
            </w:r>
            <w:r>
              <w:rPr>
                <w:rFonts w:hint="eastAsia" w:ascii="方正仿宋_GBK" w:hAnsi="方正仿宋_GBK" w:cs="方正仿宋_GBK"/>
                <w:b/>
                <w:bCs/>
                <w:i w:val="0"/>
                <w:color w:val="auto"/>
                <w:sz w:val="28"/>
                <w:szCs w:val="28"/>
                <w:u w:val="none"/>
                <w:lang w:val="en-US" w:eastAsia="zh-CN"/>
              </w:rPr>
              <w:t>四</w:t>
            </w:r>
            <w:r>
              <w:rPr>
                <w:rFonts w:hint="eastAsia" w:ascii="方正仿宋_GBK" w:hAnsi="方正仿宋_GBK" w:eastAsia="方正仿宋_GBK" w:cs="方正仿宋_GBK"/>
                <w:b/>
                <w:bCs/>
                <w:i w:val="0"/>
                <w:color w:val="auto"/>
                <w:sz w:val="28"/>
                <w:szCs w:val="28"/>
                <w:u w:val="none"/>
                <w:lang w:eastAsia="zh-CN"/>
              </w:rPr>
              <w:t>）</w:t>
            </w:r>
            <w:r>
              <w:rPr>
                <w:rFonts w:hint="eastAsia" w:ascii="方正仿宋_GBK" w:hAnsi="方正仿宋_GBK" w:eastAsia="方正仿宋_GBK" w:cs="方正仿宋_GBK"/>
                <w:b/>
                <w:bCs/>
                <w:i w:val="0"/>
                <w:color w:val="auto"/>
                <w:sz w:val="28"/>
                <w:szCs w:val="28"/>
                <w:u w:val="none"/>
                <w:lang w:val="en-US" w:eastAsia="zh-CN"/>
              </w:rPr>
              <w:t>仓储设施设备与安全管理</w:t>
            </w:r>
          </w:p>
        </w:tc>
        <w:tc>
          <w:tcPr>
            <w:tcW w:w="7476" w:type="dxa"/>
            <w:tcBorders>
              <w:tl2br w:val="nil"/>
              <w:tr2bl w:val="nil"/>
            </w:tcBorders>
            <w:noWrap w:val="0"/>
            <w:tcMar>
              <w:top w:w="15" w:type="dxa"/>
              <w:left w:w="15" w:type="dxa"/>
              <w:right w:w="15" w:type="dxa"/>
            </w:tcMar>
            <w:vAlign w:val="center"/>
          </w:tcPr>
          <w:p w14:paraId="02CCECD0">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15.应当在药品库房中设立独立的第二类精神药品专库或专柜；设立的专库（柜）应当有报警设施、设备。应当配备配送运输、收发货安全管理设施。</w:t>
            </w:r>
          </w:p>
          <w:p w14:paraId="4E7740C7">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16.第二类精神药品安全管理制度应当至少涵盖以下内容：</w:t>
            </w:r>
          </w:p>
          <w:p w14:paraId="5D5F2364">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（1）安全报警设施、设备定期检查、维护制度；</w:t>
            </w:r>
          </w:p>
          <w:p w14:paraId="3759074B">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（2）24小时安全值班制度；</w:t>
            </w:r>
          </w:p>
          <w:p w14:paraId="1B7A4D20">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（3）流入非法渠道报告处理制度；</w:t>
            </w:r>
          </w:p>
          <w:p w14:paraId="7B2225DE">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（4）报残损、销毁管理制度；</w:t>
            </w:r>
          </w:p>
          <w:p w14:paraId="3001189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（5）安全管理和向药品监督管理部门或其指定机构报送经营信息的网络说明材料和操作手册；</w:t>
            </w:r>
          </w:p>
          <w:p w14:paraId="50A29942">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（6）专用账册或专用GSP计算机系统或功能模块管理制度；</w:t>
            </w:r>
          </w:p>
          <w:p w14:paraId="503B860E">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（7）配送运输安全管理制度；</w:t>
            </w:r>
          </w:p>
          <w:p w14:paraId="3510B96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（8）邮寄管理制度。</w:t>
            </w:r>
          </w:p>
          <w:p w14:paraId="7ACF201A">
            <w:pPr>
              <w:pStyle w:val="2"/>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17.应当建立向药品监管部门或其指定机构报送二类精神药品经营信息的网络终端。</w:t>
            </w:r>
          </w:p>
        </w:tc>
        <w:tc>
          <w:tcPr>
            <w:tcW w:w="5515" w:type="dxa"/>
            <w:gridSpan w:val="2"/>
            <w:tcBorders>
              <w:tl2br w:val="nil"/>
              <w:tr2bl w:val="nil"/>
            </w:tcBorders>
            <w:noWrap w:val="0"/>
            <w:tcMar>
              <w:top w:w="15" w:type="dxa"/>
              <w:left w:w="15" w:type="dxa"/>
              <w:right w:w="15" w:type="dxa"/>
            </w:tcMar>
            <w:vAlign w:val="center"/>
          </w:tcPr>
          <w:p w14:paraId="53E2CB33">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1.**设立的专库（柜）不牢固或有效地防盗、防丢失，或无报警设施设备，或未实行双人双锁管理。</w:t>
            </w:r>
          </w:p>
          <w:p w14:paraId="26235D3D">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2.**未实行24小时值班制度，并无交接班记录。</w:t>
            </w:r>
          </w:p>
          <w:p w14:paraId="30FDF0EC">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3.**发生丢失、被抢、被盗、其他流入非法渠道的情形时，未按规定处理和报告。</w:t>
            </w:r>
          </w:p>
          <w:p w14:paraId="6018F039">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4.**过期、损坏的第二类精神药品未登记造册，也未及时向所在地县级以上药品监督管理部门申请销毁。</w:t>
            </w:r>
          </w:p>
          <w:p w14:paraId="63CD53F6">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5.**无第二类精神药品专用账册或电子数据。</w:t>
            </w:r>
          </w:p>
          <w:p w14:paraId="1172034D">
            <w:pPr>
              <w:pStyle w:val="2"/>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6.**未严格执行配送、收发货、运输安全管理制度致使药品丢失、被盗，流入非法渠道。</w:t>
            </w:r>
          </w:p>
          <w:p w14:paraId="2BA9A3F8">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7.*安全管理制度不完善。</w:t>
            </w:r>
          </w:p>
          <w:p w14:paraId="7F108E18">
            <w:pP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8.*未建立药品经营信息报送网络终端。</w:t>
            </w:r>
          </w:p>
        </w:tc>
      </w:tr>
      <w:tr w14:paraId="5CA9B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509" w:type="dxa"/>
            <w:tcBorders>
              <w:tl2br w:val="nil"/>
              <w:tr2bl w:val="nil"/>
            </w:tcBorders>
            <w:noWrap w:val="0"/>
            <w:tcMar>
              <w:top w:w="15" w:type="dxa"/>
              <w:left w:w="15" w:type="dxa"/>
              <w:right w:w="15" w:type="dxa"/>
            </w:tcMar>
            <w:vAlign w:val="center"/>
          </w:tcPr>
          <w:p w14:paraId="20D3ED21">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b/>
                <w:bCs/>
                <w:i w:val="0"/>
                <w:color w:val="auto"/>
                <w:sz w:val="28"/>
                <w:szCs w:val="28"/>
                <w:u w:val="none"/>
                <w:lang w:val="en-US" w:eastAsia="zh-CN"/>
              </w:rPr>
              <w:t>（</w:t>
            </w:r>
            <w:r>
              <w:rPr>
                <w:rFonts w:hint="eastAsia" w:ascii="方正仿宋_GBK" w:hAnsi="方正仿宋_GBK" w:cs="方正仿宋_GBK"/>
                <w:b/>
                <w:bCs/>
                <w:i w:val="0"/>
                <w:color w:val="auto"/>
                <w:sz w:val="28"/>
                <w:szCs w:val="28"/>
                <w:u w:val="none"/>
                <w:lang w:val="en-US" w:eastAsia="zh-CN"/>
              </w:rPr>
              <w:t>五</w:t>
            </w:r>
            <w:r>
              <w:rPr>
                <w:rFonts w:hint="eastAsia" w:ascii="方正仿宋_GBK" w:hAnsi="方正仿宋_GBK" w:eastAsia="方正仿宋_GBK" w:cs="方正仿宋_GBK"/>
                <w:b/>
                <w:bCs/>
                <w:i w:val="0"/>
                <w:color w:val="auto"/>
                <w:sz w:val="28"/>
                <w:szCs w:val="28"/>
                <w:u w:val="none"/>
                <w:lang w:val="en-US" w:eastAsia="zh-CN"/>
              </w:rPr>
              <w:t>）质量管理与自检</w:t>
            </w:r>
          </w:p>
        </w:tc>
        <w:tc>
          <w:tcPr>
            <w:tcW w:w="7476" w:type="dxa"/>
            <w:tcBorders>
              <w:tl2br w:val="nil"/>
              <w:tr2bl w:val="nil"/>
            </w:tcBorders>
            <w:noWrap w:val="0"/>
            <w:tcMar>
              <w:top w:w="15" w:type="dxa"/>
              <w:left w:w="15" w:type="dxa"/>
              <w:right w:w="15" w:type="dxa"/>
            </w:tcMar>
            <w:vAlign w:val="center"/>
          </w:tcPr>
          <w:p w14:paraId="65207010">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18.第二类精神药品质量管理制度应当至少涵盖以下内容：（1）第二类精神药品购入、验收、储存、发货复核制度；</w:t>
            </w:r>
          </w:p>
          <w:p w14:paraId="0B1E8614">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（2）第二类精神药品销售管理制度，包括查验购药企业或患者身份证明制度；</w:t>
            </w:r>
          </w:p>
          <w:p w14:paraId="582A1E15">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（3）第二类精神药品退货、收回和处理的管理制度；</w:t>
            </w:r>
          </w:p>
          <w:p w14:paraId="3FA661D9">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（4）零售连锁门店审方管理制度；</w:t>
            </w:r>
          </w:p>
          <w:p w14:paraId="127E1936">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（5）运输、邮寄管理制度；</w:t>
            </w:r>
          </w:p>
          <w:p w14:paraId="667078A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（6）安全经营的评价制度；</w:t>
            </w:r>
          </w:p>
          <w:p w14:paraId="57926DA8">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（7）过期、损坏的销毁制度；</w:t>
            </w:r>
          </w:p>
          <w:p w14:paraId="45D70A6C">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（8）自检制度。</w:t>
            </w:r>
          </w:p>
          <w:p w14:paraId="4C56AD17">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19.批发企业和零售连锁企业总部的购、销、存等业务应当实行计算机管理。购入第二类精神药品应当有专人检查验收，建有专用账册或电子数据，并按规定保存至有效期满后5年。</w:t>
            </w:r>
          </w:p>
          <w:p w14:paraId="5BC86B28">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20.应当有通过网络实施企业安全管理和向药品监督管理部门或其指定机构报送经营信息的能力。</w:t>
            </w:r>
          </w:p>
          <w:p w14:paraId="312BE4D2">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21.不合格药品应当在属地药品监督管理部门监督下销毁，并有销毁记录</w:t>
            </w:r>
          </w:p>
          <w:p w14:paraId="598A66CB">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22.应当按规定对本企业安全经营状况进行评价，并形成报告。</w:t>
            </w:r>
          </w:p>
          <w:p w14:paraId="712F229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i w:val="0"/>
                <w:color w:val="auto"/>
                <w:kern w:val="0"/>
                <w:sz w:val="28"/>
                <w:szCs w:val="28"/>
                <w:u w:val="none"/>
                <w:lang w:val="en-US" w:eastAsia="zh-CN" w:bidi="ar"/>
              </w:rPr>
              <w:t>2</w:t>
            </w:r>
            <w:r>
              <w:rPr>
                <w:rFonts w:hint="eastAsia" w:ascii="方正仿宋_GBK" w:hAnsi="方正仿宋_GBK" w:cs="方正仿宋_GBK"/>
                <w:i w:val="0"/>
                <w:color w:val="auto"/>
                <w:kern w:val="0"/>
                <w:sz w:val="28"/>
                <w:szCs w:val="28"/>
                <w:u w:val="none"/>
                <w:lang w:val="en-US" w:eastAsia="zh-CN" w:bidi="ar"/>
              </w:rPr>
              <w:t>3</w:t>
            </w:r>
            <w:r>
              <w:rPr>
                <w:rFonts w:hint="eastAsia" w:ascii="方正仿宋_GBK" w:hAnsi="方正仿宋_GBK" w:eastAsia="方正仿宋_GBK" w:cs="方正仿宋_GBK"/>
                <w:i w:val="0"/>
                <w:color w:val="auto"/>
                <w:kern w:val="0"/>
                <w:sz w:val="28"/>
                <w:szCs w:val="28"/>
                <w:u w:val="none"/>
                <w:lang w:val="en-US" w:eastAsia="zh-CN" w:bidi="ar"/>
              </w:rPr>
              <w:t>.自检应当形成自检报告，自检报告应当包括缺陷项目的整改措施，并有整改结果的效果评价</w:t>
            </w:r>
            <w:r>
              <w:rPr>
                <w:rFonts w:hint="eastAsia" w:ascii="方正仿宋_GBK" w:hAnsi="方正仿宋_GBK" w:eastAsia="方正仿宋_GBK" w:cs="方正仿宋_GBK"/>
                <w:color w:val="auto"/>
                <w:sz w:val="28"/>
                <w:szCs w:val="28"/>
              </w:rPr>
              <w:t>。</w:t>
            </w:r>
          </w:p>
        </w:tc>
        <w:tc>
          <w:tcPr>
            <w:tcW w:w="5515" w:type="dxa"/>
            <w:gridSpan w:val="2"/>
            <w:tcBorders>
              <w:tl2br w:val="nil"/>
              <w:tr2bl w:val="nil"/>
            </w:tcBorders>
            <w:noWrap w:val="0"/>
            <w:tcMar>
              <w:top w:w="15" w:type="dxa"/>
              <w:left w:w="15" w:type="dxa"/>
              <w:right w:w="15" w:type="dxa"/>
            </w:tcMar>
            <w:vAlign w:val="center"/>
          </w:tcPr>
          <w:p w14:paraId="7BB29C91">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1</w:t>
            </w:r>
            <w:r>
              <w:rPr>
                <w:rFonts w:hint="eastAsia" w:ascii="方正仿宋_GBK" w:hAnsi="方正仿宋_GBK" w:eastAsia="方正仿宋_GBK" w:cs="方正仿宋_GBK"/>
                <w:i w:val="0"/>
                <w:color w:val="auto"/>
                <w:kern w:val="0"/>
                <w:sz w:val="28"/>
                <w:szCs w:val="28"/>
                <w:u w:val="none"/>
                <w:lang w:val="en-US" w:eastAsia="zh-CN" w:bidi="ar"/>
              </w:rPr>
              <w:t>.*质量管理制度不完善，或购进、验收、配送、运输记录不完善、及时、准确；</w:t>
            </w:r>
          </w:p>
          <w:p w14:paraId="358D10CF">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w:t>
            </w:r>
            <w:r>
              <w:rPr>
                <w:rFonts w:hint="eastAsia" w:ascii="方正仿宋_GBK" w:hAnsi="方正仿宋_GBK" w:eastAsia="方正仿宋_GBK" w:cs="方正仿宋_GBK"/>
                <w:i w:val="0"/>
                <w:color w:val="auto"/>
                <w:kern w:val="0"/>
                <w:sz w:val="28"/>
                <w:szCs w:val="28"/>
                <w:u w:val="none"/>
                <w:lang w:val="en-US" w:eastAsia="zh-CN" w:bidi="ar"/>
              </w:rPr>
              <w:t>.**账、货</w:t>
            </w:r>
            <w:bookmarkStart w:id="0" w:name="_GoBack"/>
            <w:bookmarkEnd w:id="0"/>
            <w:r>
              <w:rPr>
                <w:rFonts w:hint="eastAsia" w:ascii="方正仿宋_GBK" w:hAnsi="方正仿宋_GBK" w:eastAsia="方正仿宋_GBK" w:cs="方正仿宋_GBK"/>
                <w:i w:val="0"/>
                <w:color w:val="auto"/>
                <w:kern w:val="0"/>
                <w:sz w:val="28"/>
                <w:szCs w:val="28"/>
                <w:u w:val="none"/>
                <w:lang w:val="en-US" w:eastAsia="zh-CN" w:bidi="ar"/>
              </w:rPr>
              <w:t>、记录不一致或数据不可靠，且未进行偏差调查或品种追溯发现上下游购进销售数据不一致。</w:t>
            </w:r>
          </w:p>
          <w:p w14:paraId="35B7D38C">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3</w:t>
            </w:r>
            <w:r>
              <w:rPr>
                <w:rFonts w:hint="eastAsia" w:ascii="方正仿宋_GBK" w:hAnsi="方正仿宋_GBK" w:eastAsia="方正仿宋_GBK" w:cs="方正仿宋_GBK"/>
                <w:i w:val="0"/>
                <w:color w:val="auto"/>
                <w:kern w:val="0"/>
                <w:sz w:val="28"/>
                <w:szCs w:val="28"/>
                <w:u w:val="none"/>
                <w:lang w:val="en-US" w:eastAsia="zh-CN" w:bidi="ar"/>
              </w:rPr>
              <w:t>.**销售记录及出库记录不一致；与收货单位无任何交接记录；退回、收回的第二类精神药品未登记造册并按规定处理；收货单位资质不合法。</w:t>
            </w:r>
          </w:p>
          <w:p w14:paraId="17692349">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cs="方正仿宋_GBK"/>
                <w:i w:val="0"/>
                <w:color w:val="auto"/>
                <w:kern w:val="0"/>
                <w:sz w:val="28"/>
                <w:szCs w:val="28"/>
                <w:u w:val="none"/>
                <w:lang w:val="en-US" w:eastAsia="zh-CN" w:bidi="ar"/>
              </w:rPr>
              <w:t>4</w:t>
            </w:r>
            <w:r>
              <w:rPr>
                <w:rFonts w:hint="eastAsia" w:ascii="方正仿宋_GBK" w:hAnsi="方正仿宋_GBK" w:eastAsia="方正仿宋_GBK" w:cs="方正仿宋_GBK"/>
                <w:i w:val="0"/>
                <w:color w:val="auto"/>
                <w:kern w:val="0"/>
                <w:sz w:val="28"/>
                <w:szCs w:val="28"/>
                <w:u w:val="none"/>
                <w:lang w:val="en-US" w:eastAsia="zh-CN" w:bidi="ar"/>
              </w:rPr>
              <w:t>.*未按规定组织自检，自检未按预定的程序进行全面检查。</w:t>
            </w:r>
          </w:p>
        </w:tc>
      </w:tr>
      <w:tr w14:paraId="3F7EC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71" w:type="dxa"/>
          <w:trHeight w:val="460" w:hRule="atLeast"/>
          <w:jc w:val="center"/>
        </w:trPr>
        <w:tc>
          <w:tcPr>
            <w:tcW w:w="13829" w:type="dxa"/>
            <w:gridSpan w:val="3"/>
            <w:tcBorders>
              <w:tl2br w:val="nil"/>
              <w:tr2bl w:val="nil"/>
            </w:tcBorders>
            <w:noWrap w:val="0"/>
            <w:tcMar>
              <w:top w:w="15" w:type="dxa"/>
              <w:left w:w="15" w:type="dxa"/>
              <w:right w:w="15" w:type="dxa"/>
            </w:tcMar>
            <w:vAlign w:val="center"/>
          </w:tcPr>
          <w:p w14:paraId="3BBB740C">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i w:val="0"/>
                <w:color w:val="auto"/>
                <w:kern w:val="0"/>
                <w:sz w:val="28"/>
                <w:szCs w:val="28"/>
                <w:u w:val="none"/>
                <w:lang w:val="en-US" w:eastAsia="zh-CN" w:bidi="ar"/>
              </w:rPr>
              <w:t>第三部分  连锁门店第二类精神药品质量安全标准符合性</w:t>
            </w:r>
          </w:p>
        </w:tc>
      </w:tr>
      <w:tr w14:paraId="57C1D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5" w:hRule="atLeast"/>
          <w:jc w:val="center"/>
        </w:trPr>
        <w:tc>
          <w:tcPr>
            <w:tcW w:w="1509" w:type="dxa"/>
            <w:tcBorders>
              <w:tl2br w:val="nil"/>
              <w:tr2bl w:val="nil"/>
            </w:tcBorders>
            <w:noWrap w:val="0"/>
            <w:tcMar>
              <w:top w:w="15" w:type="dxa"/>
              <w:left w:w="15" w:type="dxa"/>
              <w:right w:w="15" w:type="dxa"/>
            </w:tcMar>
            <w:vAlign w:val="center"/>
          </w:tcPr>
          <w:p w14:paraId="6EC526B9">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bCs/>
                <w:i w:val="0"/>
                <w:color w:val="auto"/>
                <w:sz w:val="28"/>
                <w:szCs w:val="28"/>
                <w:u w:val="none"/>
                <w:lang w:val="en-US" w:eastAsia="zh-CN"/>
              </w:rPr>
              <w:t>（一）资质与机构人员</w:t>
            </w:r>
          </w:p>
        </w:tc>
        <w:tc>
          <w:tcPr>
            <w:tcW w:w="7476" w:type="dxa"/>
            <w:tcBorders>
              <w:tl2br w:val="nil"/>
              <w:tr2bl w:val="nil"/>
            </w:tcBorders>
            <w:noWrap w:val="0"/>
            <w:tcMar>
              <w:top w:w="15" w:type="dxa"/>
              <w:left w:w="15" w:type="dxa"/>
              <w:right w:w="15" w:type="dxa"/>
            </w:tcMar>
            <w:vAlign w:val="center"/>
          </w:tcPr>
          <w:p w14:paraId="7CF92E1B">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color w:val="auto"/>
                <w:sz w:val="28"/>
                <w:szCs w:val="28"/>
                <w:lang w:val="en-US" w:eastAsia="zh-CN"/>
              </w:rPr>
              <w:t>24.</w:t>
            </w:r>
            <w:r>
              <w:rPr>
                <w:rFonts w:hint="eastAsia" w:ascii="方正仿宋_GBK" w:hAnsi="方正仿宋_GBK" w:eastAsia="方正仿宋_GBK" w:cs="方正仿宋_GBK"/>
                <w:i w:val="0"/>
                <w:color w:val="auto"/>
                <w:kern w:val="0"/>
                <w:sz w:val="28"/>
                <w:szCs w:val="28"/>
                <w:u w:val="none"/>
                <w:lang w:val="en-US" w:eastAsia="zh-CN" w:bidi="ar"/>
              </w:rPr>
              <w:t>连锁总部取得了第二类精神药品经营范围，连锁门店依法取得了《药品经营许可证》。</w:t>
            </w:r>
          </w:p>
          <w:p w14:paraId="2ADF0EDE">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25.拟确定连锁门店近三年药品经营质量管理规范符合性检查结果符合规定。</w:t>
            </w:r>
          </w:p>
          <w:p w14:paraId="1A9AEC2C">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26.</w:t>
            </w:r>
            <w:r>
              <w:rPr>
                <w:rFonts w:hint="eastAsia" w:ascii="方正仿宋_GBK" w:hAnsi="方正仿宋_GBK" w:eastAsia="方正仿宋_GBK" w:cs="方正仿宋_GBK"/>
                <w:i w:val="0"/>
                <w:color w:val="auto"/>
                <w:kern w:val="0"/>
                <w:sz w:val="28"/>
                <w:szCs w:val="28"/>
                <w:u w:val="none"/>
                <w:lang w:val="en-US" w:eastAsia="zh-CN" w:bidi="ar"/>
              </w:rPr>
              <w:t>零售连锁门店应当配备专人负责管理第二类精神药品，配备审方人员，相关人员应熟悉第二类精神药品管理知识和法律法规。</w:t>
            </w:r>
          </w:p>
          <w:p w14:paraId="147B6C61">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i w:val="0"/>
                <w:color w:val="auto"/>
                <w:kern w:val="0"/>
                <w:sz w:val="28"/>
                <w:szCs w:val="28"/>
                <w:u w:val="none"/>
                <w:lang w:val="en-US" w:eastAsia="zh-CN" w:bidi="ar"/>
              </w:rPr>
              <w:t>27.管理人员、直接业务人员应当每年按计划接受连锁总部特殊药品管理培训，并不少于10学时。</w:t>
            </w:r>
          </w:p>
        </w:tc>
        <w:tc>
          <w:tcPr>
            <w:tcW w:w="5515" w:type="dxa"/>
            <w:gridSpan w:val="2"/>
            <w:tcBorders>
              <w:tl2br w:val="nil"/>
              <w:tr2bl w:val="nil"/>
            </w:tcBorders>
            <w:noWrap w:val="0"/>
            <w:tcMar>
              <w:top w:w="15" w:type="dxa"/>
              <w:left w:w="15" w:type="dxa"/>
              <w:right w:w="15" w:type="dxa"/>
            </w:tcMar>
            <w:vAlign w:val="center"/>
          </w:tcPr>
          <w:p w14:paraId="23099A8E">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lang w:val="en-US" w:eastAsia="zh-CN"/>
              </w:rPr>
            </w:pPr>
            <w:r>
              <w:rPr>
                <w:rFonts w:hint="eastAsia" w:ascii="方正仿宋_GBK" w:hAnsi="方正仿宋_GBK" w:eastAsia="方正仿宋_GBK" w:cs="方正仿宋_GBK"/>
                <w:color w:val="auto"/>
                <w:kern w:val="0"/>
                <w:sz w:val="28"/>
                <w:szCs w:val="28"/>
                <w:lang w:val="en-US" w:eastAsia="zh-CN" w:bidi="ar"/>
              </w:rPr>
              <w:t>1.**药品零售连锁门店未实行“统一购进、统一配送、统一管理”</w:t>
            </w:r>
            <w:r>
              <w:rPr>
                <w:rFonts w:hint="eastAsia"/>
                <w:lang w:val="en-US" w:eastAsia="zh-CN"/>
              </w:rPr>
              <w:t>。</w:t>
            </w:r>
          </w:p>
          <w:p w14:paraId="6394DF74">
            <w:pPr>
              <w:pStyle w:val="2"/>
              <w:rPr>
                <w:rFonts w:hint="default"/>
                <w:lang w:val="en-US" w:eastAsia="zh-CN"/>
              </w:rPr>
            </w:pPr>
            <w:r>
              <w:rPr>
                <w:rFonts w:hint="eastAsia" w:ascii="方正仿宋_GBK" w:hAnsi="方正仿宋_GBK" w:eastAsia="方正仿宋_GBK" w:cs="方正仿宋_GBK"/>
                <w:i w:val="0"/>
                <w:color w:val="auto"/>
                <w:kern w:val="0"/>
                <w:sz w:val="28"/>
                <w:szCs w:val="28"/>
                <w:u w:val="none"/>
                <w:lang w:val="en-US" w:eastAsia="zh-CN" w:bidi="ar"/>
              </w:rPr>
              <w:t>2.*未达到检查内容26、27要求的。</w:t>
            </w:r>
          </w:p>
        </w:tc>
      </w:tr>
      <w:tr w14:paraId="09838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9" w:type="dxa"/>
            <w:tcBorders>
              <w:tl2br w:val="nil"/>
              <w:tr2bl w:val="nil"/>
            </w:tcBorders>
            <w:noWrap w:val="0"/>
            <w:tcMar>
              <w:top w:w="15" w:type="dxa"/>
              <w:left w:w="15" w:type="dxa"/>
              <w:right w:w="15" w:type="dxa"/>
            </w:tcMar>
            <w:vAlign w:val="center"/>
          </w:tcPr>
          <w:p w14:paraId="2C10623E">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bCs/>
                <w:i w:val="0"/>
                <w:color w:val="auto"/>
                <w:sz w:val="28"/>
                <w:szCs w:val="28"/>
                <w:u w:val="none"/>
                <w:lang w:val="en-US" w:eastAsia="zh-CN"/>
              </w:rPr>
              <w:t>（二）设施设备与安全管理</w:t>
            </w:r>
          </w:p>
        </w:tc>
        <w:tc>
          <w:tcPr>
            <w:tcW w:w="7476" w:type="dxa"/>
            <w:tcBorders>
              <w:tl2br w:val="nil"/>
              <w:tr2bl w:val="nil"/>
            </w:tcBorders>
            <w:noWrap w:val="0"/>
            <w:tcMar>
              <w:top w:w="15" w:type="dxa"/>
              <w:left w:w="15" w:type="dxa"/>
              <w:right w:w="15" w:type="dxa"/>
            </w:tcMar>
            <w:vAlign w:val="center"/>
          </w:tcPr>
          <w:p w14:paraId="78028747">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28</w:t>
            </w:r>
            <w:r>
              <w:rPr>
                <w:rFonts w:hint="eastAsia" w:ascii="方正仿宋_GBK" w:hAnsi="方正仿宋_GBK" w:eastAsia="方正仿宋_GBK" w:cs="方正仿宋_GBK"/>
                <w:i w:val="0"/>
                <w:color w:val="auto"/>
                <w:kern w:val="0"/>
                <w:sz w:val="28"/>
                <w:szCs w:val="28"/>
                <w:u w:val="none"/>
                <w:lang w:val="en-US" w:eastAsia="zh-CN" w:bidi="ar"/>
              </w:rPr>
              <w:t>.在连锁门店应当设有专用柜储存第二类精神药品，并有防盗装置。</w:t>
            </w:r>
          </w:p>
          <w:p w14:paraId="65D57275">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29.</w:t>
            </w:r>
            <w:r>
              <w:rPr>
                <w:rFonts w:hint="eastAsia" w:ascii="方正仿宋_GBK" w:hAnsi="方正仿宋_GBK" w:eastAsia="方正仿宋_GBK" w:cs="方正仿宋_GBK"/>
                <w:i w:val="0"/>
                <w:color w:val="auto"/>
                <w:kern w:val="0"/>
                <w:sz w:val="28"/>
                <w:szCs w:val="28"/>
                <w:u w:val="none"/>
                <w:lang w:val="en-US" w:eastAsia="zh-CN" w:bidi="ar"/>
              </w:rPr>
              <w:t>应当具备通过网络报送第二类精神药品零售信息条件，并向连锁总部和属地药品监督管理部门反馈第二类精神药品销售流向。</w:t>
            </w:r>
          </w:p>
          <w:p w14:paraId="1820943E">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30.</w:t>
            </w:r>
            <w:r>
              <w:rPr>
                <w:rFonts w:hint="eastAsia" w:ascii="方正仿宋_GBK" w:hAnsi="方正仿宋_GBK" w:eastAsia="方正仿宋_GBK" w:cs="方正仿宋_GBK"/>
                <w:i w:val="0"/>
                <w:color w:val="auto"/>
                <w:kern w:val="0"/>
                <w:sz w:val="28"/>
                <w:szCs w:val="28"/>
                <w:u w:val="none"/>
                <w:lang w:val="en-US" w:eastAsia="zh-CN" w:bidi="ar"/>
              </w:rPr>
              <w:t>应当定期对安全储存设施设备进行检查、保养和维护。</w:t>
            </w:r>
          </w:p>
        </w:tc>
        <w:tc>
          <w:tcPr>
            <w:tcW w:w="5515" w:type="dxa"/>
            <w:gridSpan w:val="2"/>
            <w:tcBorders>
              <w:tl2br w:val="nil"/>
              <w:tr2bl w:val="nil"/>
            </w:tcBorders>
            <w:noWrap w:val="0"/>
            <w:tcMar>
              <w:top w:w="15" w:type="dxa"/>
              <w:left w:w="15" w:type="dxa"/>
              <w:right w:w="15" w:type="dxa"/>
            </w:tcMar>
            <w:vAlign w:val="center"/>
          </w:tcPr>
          <w:p w14:paraId="2245FE1C">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**无储存安全设施或设备，或不符合检查内容29。</w:t>
            </w:r>
          </w:p>
        </w:tc>
      </w:tr>
      <w:tr w14:paraId="5B43B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9" w:type="dxa"/>
            <w:tcBorders>
              <w:tl2br w:val="nil"/>
              <w:tr2bl w:val="nil"/>
            </w:tcBorders>
            <w:noWrap w:val="0"/>
            <w:tcMar>
              <w:top w:w="15" w:type="dxa"/>
              <w:left w:w="15" w:type="dxa"/>
              <w:right w:w="15" w:type="dxa"/>
            </w:tcMar>
            <w:vAlign w:val="center"/>
          </w:tcPr>
          <w:p w14:paraId="18ED9893">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bCs/>
                <w:i w:val="0"/>
                <w:color w:val="auto"/>
                <w:sz w:val="28"/>
                <w:szCs w:val="28"/>
                <w:u w:val="none"/>
                <w:lang w:val="en-US" w:eastAsia="zh-CN"/>
              </w:rPr>
              <w:t>（三）质量管理</w:t>
            </w:r>
          </w:p>
        </w:tc>
        <w:tc>
          <w:tcPr>
            <w:tcW w:w="7476" w:type="dxa"/>
            <w:tcBorders>
              <w:tl2br w:val="nil"/>
              <w:tr2bl w:val="nil"/>
            </w:tcBorders>
            <w:noWrap w:val="0"/>
            <w:tcMar>
              <w:top w:w="15" w:type="dxa"/>
              <w:left w:w="15" w:type="dxa"/>
              <w:right w:w="15" w:type="dxa"/>
            </w:tcMar>
            <w:vAlign w:val="center"/>
          </w:tcPr>
          <w:p w14:paraId="782032C6">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31.</w:t>
            </w:r>
            <w:r>
              <w:rPr>
                <w:rFonts w:hint="eastAsia" w:ascii="方正仿宋_GBK" w:hAnsi="方正仿宋_GBK" w:eastAsia="方正仿宋_GBK" w:cs="方正仿宋_GBK"/>
                <w:i w:val="0"/>
                <w:color w:val="auto"/>
                <w:kern w:val="0"/>
                <w:sz w:val="28"/>
                <w:szCs w:val="28"/>
                <w:u w:val="none"/>
                <w:lang w:val="en-US" w:eastAsia="zh-CN" w:bidi="ar"/>
              </w:rPr>
              <w:t>应当</w:t>
            </w:r>
            <w:r>
              <w:rPr>
                <w:rFonts w:hint="eastAsia" w:ascii="方正仿宋_GBK" w:hAnsi="方正仿宋_GBK" w:eastAsia="方正仿宋_GBK" w:cs="方正仿宋_GBK"/>
                <w:color w:val="auto"/>
                <w:sz w:val="28"/>
                <w:szCs w:val="28"/>
                <w:lang w:eastAsia="zh-CN"/>
              </w:rPr>
              <w:t>制定针对第二类精神药品</w:t>
            </w:r>
            <w:r>
              <w:rPr>
                <w:rFonts w:hint="eastAsia" w:ascii="方正仿宋_GBK" w:hAnsi="方正仿宋_GBK" w:eastAsia="方正仿宋_GBK" w:cs="方正仿宋_GBK"/>
                <w:i w:val="0"/>
                <w:color w:val="auto"/>
                <w:kern w:val="0"/>
                <w:sz w:val="28"/>
                <w:szCs w:val="28"/>
                <w:u w:val="none"/>
                <w:lang w:val="en-US" w:eastAsia="zh-CN" w:bidi="ar"/>
              </w:rPr>
              <w:t>配送验收、储存保管、退货、不合格品及安全管理（包括丢失、被盗案件报告）制度，并根据有关法律法规及质量管理实际及时进行修订。</w:t>
            </w:r>
          </w:p>
          <w:p w14:paraId="710C78AD">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32.</w:t>
            </w:r>
            <w:r>
              <w:rPr>
                <w:rFonts w:hint="eastAsia" w:ascii="方正仿宋_GBK" w:hAnsi="方正仿宋_GBK" w:eastAsia="方正仿宋_GBK" w:cs="方正仿宋_GBK"/>
                <w:i w:val="0"/>
                <w:color w:val="auto"/>
                <w:kern w:val="0"/>
                <w:sz w:val="28"/>
                <w:szCs w:val="28"/>
                <w:u w:val="none"/>
                <w:lang w:val="en-US" w:eastAsia="zh-CN" w:bidi="ar"/>
              </w:rPr>
              <w:t>零售第二类精神药品应当由专人管理专用账册或专用GSP计算机模块系统。应当具备第二类精神药品配送验收、零售等记录和数据的数据备份能力。</w:t>
            </w:r>
          </w:p>
          <w:p w14:paraId="7CB00111">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p>
        </w:tc>
        <w:tc>
          <w:tcPr>
            <w:tcW w:w="5515" w:type="dxa"/>
            <w:gridSpan w:val="2"/>
            <w:tcBorders>
              <w:tl2br w:val="nil"/>
              <w:tr2bl w:val="nil"/>
            </w:tcBorders>
            <w:noWrap w:val="0"/>
            <w:tcMar>
              <w:top w:w="15" w:type="dxa"/>
              <w:left w:w="15" w:type="dxa"/>
              <w:right w:w="15" w:type="dxa"/>
            </w:tcMar>
            <w:vAlign w:val="center"/>
          </w:tcPr>
          <w:p w14:paraId="7C82F9E3">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1.</w:t>
            </w:r>
            <w:r>
              <w:rPr>
                <w:rFonts w:hint="eastAsia" w:ascii="方正仿宋_GBK" w:hAnsi="方正仿宋_GBK" w:eastAsia="方正仿宋_GBK" w:cs="方正仿宋_GBK"/>
                <w:i w:val="0"/>
                <w:color w:val="auto"/>
                <w:kern w:val="0"/>
                <w:sz w:val="28"/>
                <w:szCs w:val="28"/>
                <w:u w:val="none"/>
                <w:lang w:val="en-US" w:eastAsia="zh-CN" w:bidi="ar"/>
              </w:rPr>
              <w:t>**未建立丢失、被盗及时报告及处置的安全管理措施。</w:t>
            </w:r>
          </w:p>
          <w:p w14:paraId="409639C3">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2</w:t>
            </w:r>
            <w:r>
              <w:rPr>
                <w:rFonts w:hint="eastAsia" w:ascii="方正仿宋_GBK" w:hAnsi="方正仿宋_GBK" w:eastAsia="方正仿宋_GBK" w:cs="方正仿宋_GBK"/>
                <w:i w:val="0"/>
                <w:color w:val="auto"/>
                <w:kern w:val="0"/>
                <w:sz w:val="28"/>
                <w:szCs w:val="28"/>
                <w:u w:val="none"/>
                <w:lang w:val="en-US" w:eastAsia="zh-CN" w:bidi="ar"/>
              </w:rPr>
              <w:t>.**未建立处方审核相关制度、规程。</w:t>
            </w:r>
          </w:p>
          <w:p w14:paraId="4AFFA692">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3.</w:t>
            </w:r>
            <w:r>
              <w:rPr>
                <w:rFonts w:hint="eastAsia" w:ascii="方正仿宋_GBK" w:hAnsi="方正仿宋_GBK" w:eastAsia="方正仿宋_GBK" w:cs="方正仿宋_GBK"/>
                <w:i w:val="0"/>
                <w:color w:val="auto"/>
                <w:kern w:val="0"/>
                <w:sz w:val="28"/>
                <w:szCs w:val="28"/>
                <w:u w:val="none"/>
                <w:lang w:val="en-US" w:eastAsia="zh-CN" w:bidi="ar"/>
              </w:rPr>
              <w:t>**无专用账册或电子数据。</w:t>
            </w:r>
          </w:p>
          <w:p w14:paraId="49D43076">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4.</w:t>
            </w:r>
            <w:r>
              <w:rPr>
                <w:rFonts w:hint="eastAsia" w:ascii="方正仿宋_GBK" w:hAnsi="方正仿宋_GBK" w:eastAsia="方正仿宋_GBK" w:cs="方正仿宋_GBK"/>
                <w:i w:val="0"/>
                <w:color w:val="auto"/>
                <w:kern w:val="0"/>
                <w:sz w:val="28"/>
                <w:szCs w:val="28"/>
                <w:u w:val="none"/>
                <w:lang w:val="en-US" w:eastAsia="zh-CN" w:bidi="ar"/>
              </w:rPr>
              <w:t>**未建立及时报告并采取预防纠正措施。</w:t>
            </w:r>
          </w:p>
          <w:p w14:paraId="486522B3">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i w:val="0"/>
                <w:color w:val="auto"/>
                <w:kern w:val="0"/>
                <w:sz w:val="28"/>
                <w:szCs w:val="28"/>
                <w:u w:val="none"/>
                <w:lang w:val="en-US" w:eastAsia="zh-CN" w:bidi="ar"/>
              </w:rPr>
            </w:pPr>
          </w:p>
          <w:p w14:paraId="103C0F0D">
            <w:pPr>
              <w:pStyle w:val="3"/>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rPr>
                <w:rFonts w:hint="eastAsia" w:ascii="方正仿宋_GBK" w:hAnsi="方正仿宋_GBK" w:eastAsia="方正仿宋_GBK" w:cs="方正仿宋_GBK"/>
                <w:color w:val="auto"/>
                <w:sz w:val="28"/>
                <w:szCs w:val="28"/>
                <w:lang w:val="en-US" w:eastAsia="zh-CN"/>
              </w:rPr>
            </w:pPr>
          </w:p>
        </w:tc>
      </w:tr>
    </w:tbl>
    <w:p w14:paraId="17F47240">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rPr>
      </w:pPr>
    </w:p>
    <w:p w14:paraId="2845FBB2">
      <w:pPr>
        <w:rPr>
          <w:rFonts w:hint="eastAsia"/>
        </w:rPr>
      </w:pPr>
    </w:p>
    <w:p w14:paraId="08EBFDF8">
      <w:pPr>
        <w:ind w:left="1677" w:leftChars="68" w:hanging="1534" w:hangingChars="548"/>
        <w:rPr>
          <w:rFonts w:hint="eastAsia" w:ascii="方正仿宋_GBK" w:hAnsi="宋体" w:eastAsia="方正仿宋_GBK"/>
          <w:sz w:val="28"/>
          <w:szCs w:val="28"/>
        </w:rPr>
      </w:pPr>
    </w:p>
    <w:sectPr>
      <w:footerReference r:id="rId5" w:type="default"/>
      <w:footerReference r:id="rId6" w:type="even"/>
      <w:pgSz w:w="16838" w:h="11906" w:orient="landscape"/>
      <w:pgMar w:top="1588" w:right="1440" w:bottom="1474"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F3CEDE7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C06E">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CC4E6">
                          <w:pPr>
                            <w:pStyle w:val="2"/>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dLA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S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5h0sD3gEAAL4DAAAOAAAAAAAA&#10;AAEAIAAAAB4BAABkcnMvZTJvRG9jLnhtbFBLBQYAAAAABgAGAFkBAABuBQAAAAA=&#10;">
              <v:fill on="f" focussize="0,0"/>
              <v:stroke on="f"/>
              <v:imagedata o:title=""/>
              <o:lock v:ext="edit" aspectratio="f"/>
              <v:textbox inset="0mm,0mm,0mm,0mm" style="mso-fit-shape-to-text:t;">
                <w:txbxContent>
                  <w:p w14:paraId="716CC4E6">
                    <w:pPr>
                      <w:pStyle w:val="2"/>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F7CF">
    <w:pPr>
      <w:pStyle w:val="2"/>
      <w:ind w:firstLine="280" w:firstLineChars="100"/>
      <w:rPr>
        <w:rFonts w:ascii="宋体" w:hAnsi="宋体"/>
        <w:color w:val="FFFFFF"/>
        <w:sz w:val="28"/>
        <w:szCs w:val="28"/>
      </w:rPr>
    </w:pPr>
    <w:r>
      <w:rPr>
        <w:rFonts w:ascii="宋体" w:hAnsi="宋体"/>
        <w:color w:val="FFFFFF"/>
        <w:sz w:val="28"/>
        <w:szCs w:val="28"/>
      </w:rPr>
      <w:fldChar w:fldCharType="begin"/>
    </w:r>
    <w:r>
      <w:rPr>
        <w:rFonts w:ascii="宋体" w:hAnsi="宋体"/>
        <w:color w:val="FFFFFF"/>
        <w:sz w:val="28"/>
        <w:szCs w:val="28"/>
      </w:rPr>
      <w:instrText xml:space="preserve">PAGE   \* MERGEFORMAT</w:instrText>
    </w:r>
    <w:r>
      <w:rPr>
        <w:rFonts w:ascii="宋体" w:hAnsi="宋体"/>
        <w:color w:val="FFFFFF"/>
        <w:sz w:val="28"/>
        <w:szCs w:val="28"/>
      </w:rPr>
      <w:fldChar w:fldCharType="separate"/>
    </w:r>
    <w:r>
      <w:rPr>
        <w:rFonts w:ascii="宋体" w:hAnsi="宋体"/>
        <w:color w:val="FFFFFF"/>
        <w:sz w:val="28"/>
        <w:szCs w:val="28"/>
        <w:lang w:val="zh-CN"/>
      </w:rPr>
      <w:t>-</w:t>
    </w:r>
    <w:r>
      <w:rPr>
        <w:rFonts w:ascii="宋体" w:hAnsi="宋体"/>
        <w:color w:val="FFFFFF"/>
        <w:sz w:val="28"/>
        <w:szCs w:val="28"/>
      </w:rPr>
      <w:t xml:space="preserve"> 2 -</w:t>
    </w:r>
    <w:r>
      <w:rPr>
        <w:rFonts w:ascii="宋体" w:hAnsi="宋体"/>
        <w:color w:val="FFFFFF"/>
        <w:sz w:val="28"/>
        <w:szCs w:val="28"/>
      </w:rPr>
      <w:fldChar w:fldCharType="end"/>
    </w:r>
    <w:r>
      <w:rPr>
        <w:rFonts w:ascii="宋体" w:hAnsi="宋体"/>
        <w:color w:val="FFFFFF"/>
        <w:sz w:val="28"/>
        <w:szCs w:val="28"/>
      </w:rPr>
      <w:t xml:space="preserve"> </w:t>
    </w:r>
  </w:p>
  <w:p w14:paraId="71E02ECB">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WUzZTZkMzU2YjE3MzZlNTViY2RhNzI2ODEyZGEifQ=="/>
  </w:docVars>
  <w:rsids>
    <w:rsidRoot w:val="00FA60C8"/>
    <w:rsid w:val="000145F7"/>
    <w:rsid w:val="000267F1"/>
    <w:rsid w:val="000345D4"/>
    <w:rsid w:val="00041BDE"/>
    <w:rsid w:val="00042C83"/>
    <w:rsid w:val="00045B0D"/>
    <w:rsid w:val="00045E51"/>
    <w:rsid w:val="0005174F"/>
    <w:rsid w:val="00060A6F"/>
    <w:rsid w:val="00067BF6"/>
    <w:rsid w:val="00071507"/>
    <w:rsid w:val="00074447"/>
    <w:rsid w:val="00074E94"/>
    <w:rsid w:val="00080DFB"/>
    <w:rsid w:val="0008386D"/>
    <w:rsid w:val="000A2989"/>
    <w:rsid w:val="000A2ED2"/>
    <w:rsid w:val="000A5F0B"/>
    <w:rsid w:val="000A5FE0"/>
    <w:rsid w:val="000B1AAD"/>
    <w:rsid w:val="000C48AE"/>
    <w:rsid w:val="000C4AF9"/>
    <w:rsid w:val="000D0C63"/>
    <w:rsid w:val="000D3288"/>
    <w:rsid w:val="000D669D"/>
    <w:rsid w:val="000E4E8F"/>
    <w:rsid w:val="000E4E9C"/>
    <w:rsid w:val="000E7C98"/>
    <w:rsid w:val="000F58B4"/>
    <w:rsid w:val="000F7292"/>
    <w:rsid w:val="00101F08"/>
    <w:rsid w:val="00106EE4"/>
    <w:rsid w:val="00117EF3"/>
    <w:rsid w:val="00121E2B"/>
    <w:rsid w:val="0012493B"/>
    <w:rsid w:val="00127F5A"/>
    <w:rsid w:val="00132955"/>
    <w:rsid w:val="00137FEE"/>
    <w:rsid w:val="00144CCB"/>
    <w:rsid w:val="001508B0"/>
    <w:rsid w:val="001519FD"/>
    <w:rsid w:val="0016177F"/>
    <w:rsid w:val="00163265"/>
    <w:rsid w:val="001718D0"/>
    <w:rsid w:val="00172352"/>
    <w:rsid w:val="00174F21"/>
    <w:rsid w:val="001811BA"/>
    <w:rsid w:val="0018466C"/>
    <w:rsid w:val="0018516B"/>
    <w:rsid w:val="001954AD"/>
    <w:rsid w:val="001A1EB6"/>
    <w:rsid w:val="001A2E06"/>
    <w:rsid w:val="001A3E37"/>
    <w:rsid w:val="001A56E3"/>
    <w:rsid w:val="001A7953"/>
    <w:rsid w:val="001B2763"/>
    <w:rsid w:val="001B3C0B"/>
    <w:rsid w:val="001C1DF8"/>
    <w:rsid w:val="001C7068"/>
    <w:rsid w:val="001C7981"/>
    <w:rsid w:val="001D61F7"/>
    <w:rsid w:val="001E181F"/>
    <w:rsid w:val="001E33F6"/>
    <w:rsid w:val="00206006"/>
    <w:rsid w:val="002070E2"/>
    <w:rsid w:val="00207CC6"/>
    <w:rsid w:val="00207DEA"/>
    <w:rsid w:val="002209DD"/>
    <w:rsid w:val="00221D77"/>
    <w:rsid w:val="00225CBD"/>
    <w:rsid w:val="00226DAA"/>
    <w:rsid w:val="00233408"/>
    <w:rsid w:val="00240CB1"/>
    <w:rsid w:val="00253D42"/>
    <w:rsid w:val="002604B6"/>
    <w:rsid w:val="00274823"/>
    <w:rsid w:val="0027514F"/>
    <w:rsid w:val="002849B6"/>
    <w:rsid w:val="00287390"/>
    <w:rsid w:val="00294F2C"/>
    <w:rsid w:val="002A6CE4"/>
    <w:rsid w:val="002A71AC"/>
    <w:rsid w:val="002B18CE"/>
    <w:rsid w:val="002C07B3"/>
    <w:rsid w:val="002D46A4"/>
    <w:rsid w:val="002D4858"/>
    <w:rsid w:val="002D65B5"/>
    <w:rsid w:val="002F2CC3"/>
    <w:rsid w:val="002F3D51"/>
    <w:rsid w:val="002F40D0"/>
    <w:rsid w:val="002F77DE"/>
    <w:rsid w:val="00302AAA"/>
    <w:rsid w:val="003043B9"/>
    <w:rsid w:val="003051B0"/>
    <w:rsid w:val="003061E8"/>
    <w:rsid w:val="0032415B"/>
    <w:rsid w:val="003275F1"/>
    <w:rsid w:val="00335F69"/>
    <w:rsid w:val="003447FE"/>
    <w:rsid w:val="0035031B"/>
    <w:rsid w:val="00355165"/>
    <w:rsid w:val="00356995"/>
    <w:rsid w:val="0036326B"/>
    <w:rsid w:val="003662C1"/>
    <w:rsid w:val="00382140"/>
    <w:rsid w:val="003912E1"/>
    <w:rsid w:val="003A0716"/>
    <w:rsid w:val="003A2350"/>
    <w:rsid w:val="003B2412"/>
    <w:rsid w:val="003D7671"/>
    <w:rsid w:val="003D76B4"/>
    <w:rsid w:val="003D7AEA"/>
    <w:rsid w:val="003E2D97"/>
    <w:rsid w:val="003E772C"/>
    <w:rsid w:val="003F242F"/>
    <w:rsid w:val="003F31E4"/>
    <w:rsid w:val="003F4307"/>
    <w:rsid w:val="003F75AC"/>
    <w:rsid w:val="00401CA6"/>
    <w:rsid w:val="0040225A"/>
    <w:rsid w:val="004033EA"/>
    <w:rsid w:val="00405AE4"/>
    <w:rsid w:val="00411AC2"/>
    <w:rsid w:val="00412E1F"/>
    <w:rsid w:val="004136FD"/>
    <w:rsid w:val="004238AC"/>
    <w:rsid w:val="004309D8"/>
    <w:rsid w:val="0043169E"/>
    <w:rsid w:val="00453B18"/>
    <w:rsid w:val="00474085"/>
    <w:rsid w:val="00474B84"/>
    <w:rsid w:val="004773D1"/>
    <w:rsid w:val="0048494D"/>
    <w:rsid w:val="00486DA6"/>
    <w:rsid w:val="00493597"/>
    <w:rsid w:val="004A5AC1"/>
    <w:rsid w:val="004E4BF1"/>
    <w:rsid w:val="004F01CE"/>
    <w:rsid w:val="004F27D3"/>
    <w:rsid w:val="004F45B4"/>
    <w:rsid w:val="004F48B0"/>
    <w:rsid w:val="005014BD"/>
    <w:rsid w:val="00503271"/>
    <w:rsid w:val="00505F1E"/>
    <w:rsid w:val="00512C48"/>
    <w:rsid w:val="00521C26"/>
    <w:rsid w:val="0052480B"/>
    <w:rsid w:val="005253A4"/>
    <w:rsid w:val="005270D7"/>
    <w:rsid w:val="00532583"/>
    <w:rsid w:val="00545133"/>
    <w:rsid w:val="005521BE"/>
    <w:rsid w:val="00555149"/>
    <w:rsid w:val="00555CF8"/>
    <w:rsid w:val="005604D6"/>
    <w:rsid w:val="00564625"/>
    <w:rsid w:val="0056661D"/>
    <w:rsid w:val="00570667"/>
    <w:rsid w:val="00577850"/>
    <w:rsid w:val="00590B6E"/>
    <w:rsid w:val="00593C49"/>
    <w:rsid w:val="0059561B"/>
    <w:rsid w:val="005A0563"/>
    <w:rsid w:val="005A5104"/>
    <w:rsid w:val="005A5568"/>
    <w:rsid w:val="005B752F"/>
    <w:rsid w:val="005D19C2"/>
    <w:rsid w:val="005D2E9A"/>
    <w:rsid w:val="005D7791"/>
    <w:rsid w:val="005D7D24"/>
    <w:rsid w:val="005E7595"/>
    <w:rsid w:val="005F4ADA"/>
    <w:rsid w:val="006124FC"/>
    <w:rsid w:val="00615007"/>
    <w:rsid w:val="00617242"/>
    <w:rsid w:val="00622784"/>
    <w:rsid w:val="006228EE"/>
    <w:rsid w:val="006234A7"/>
    <w:rsid w:val="00624E1C"/>
    <w:rsid w:val="00631F6F"/>
    <w:rsid w:val="00637AB1"/>
    <w:rsid w:val="00643691"/>
    <w:rsid w:val="00644DA0"/>
    <w:rsid w:val="00651FB2"/>
    <w:rsid w:val="0065372D"/>
    <w:rsid w:val="00671F9F"/>
    <w:rsid w:val="00682940"/>
    <w:rsid w:val="00690209"/>
    <w:rsid w:val="006944E6"/>
    <w:rsid w:val="006A15CF"/>
    <w:rsid w:val="006A4E98"/>
    <w:rsid w:val="006A764B"/>
    <w:rsid w:val="006D397E"/>
    <w:rsid w:val="006D4262"/>
    <w:rsid w:val="006D700B"/>
    <w:rsid w:val="006E3762"/>
    <w:rsid w:val="006F046A"/>
    <w:rsid w:val="006F19FE"/>
    <w:rsid w:val="00710FAF"/>
    <w:rsid w:val="00711A48"/>
    <w:rsid w:val="007167C8"/>
    <w:rsid w:val="00727597"/>
    <w:rsid w:val="00732AE9"/>
    <w:rsid w:val="00732FAF"/>
    <w:rsid w:val="00741A80"/>
    <w:rsid w:val="00745A7F"/>
    <w:rsid w:val="007525EE"/>
    <w:rsid w:val="00752C0D"/>
    <w:rsid w:val="007533E6"/>
    <w:rsid w:val="00760625"/>
    <w:rsid w:val="00760DE9"/>
    <w:rsid w:val="007719DB"/>
    <w:rsid w:val="00791283"/>
    <w:rsid w:val="007A4D2F"/>
    <w:rsid w:val="007A6A44"/>
    <w:rsid w:val="007A6A75"/>
    <w:rsid w:val="007B6038"/>
    <w:rsid w:val="007C0F18"/>
    <w:rsid w:val="007D2E9B"/>
    <w:rsid w:val="007D4930"/>
    <w:rsid w:val="007D52C8"/>
    <w:rsid w:val="007E47BD"/>
    <w:rsid w:val="007F0576"/>
    <w:rsid w:val="00806AA0"/>
    <w:rsid w:val="00825267"/>
    <w:rsid w:val="0083314B"/>
    <w:rsid w:val="0084072B"/>
    <w:rsid w:val="00843C95"/>
    <w:rsid w:val="0084457F"/>
    <w:rsid w:val="00846947"/>
    <w:rsid w:val="008567DD"/>
    <w:rsid w:val="00864469"/>
    <w:rsid w:val="00877669"/>
    <w:rsid w:val="00881BFE"/>
    <w:rsid w:val="00882936"/>
    <w:rsid w:val="0088422F"/>
    <w:rsid w:val="008A0772"/>
    <w:rsid w:val="008A0DF0"/>
    <w:rsid w:val="008A64DF"/>
    <w:rsid w:val="008B0909"/>
    <w:rsid w:val="008C2C1A"/>
    <w:rsid w:val="008C461A"/>
    <w:rsid w:val="008D0971"/>
    <w:rsid w:val="008E1F86"/>
    <w:rsid w:val="009117A3"/>
    <w:rsid w:val="009161BC"/>
    <w:rsid w:val="009178C2"/>
    <w:rsid w:val="00926229"/>
    <w:rsid w:val="0093678A"/>
    <w:rsid w:val="00944679"/>
    <w:rsid w:val="00953E21"/>
    <w:rsid w:val="0095403A"/>
    <w:rsid w:val="0095475E"/>
    <w:rsid w:val="00957F91"/>
    <w:rsid w:val="00965A02"/>
    <w:rsid w:val="00971CD4"/>
    <w:rsid w:val="0097437D"/>
    <w:rsid w:val="009763B7"/>
    <w:rsid w:val="009A2DB4"/>
    <w:rsid w:val="009A316F"/>
    <w:rsid w:val="009A57EB"/>
    <w:rsid w:val="009A73B1"/>
    <w:rsid w:val="009C13AB"/>
    <w:rsid w:val="009C2D1E"/>
    <w:rsid w:val="009D20D9"/>
    <w:rsid w:val="009D611E"/>
    <w:rsid w:val="009D6BC8"/>
    <w:rsid w:val="009E2F87"/>
    <w:rsid w:val="009E40B1"/>
    <w:rsid w:val="009F2E6C"/>
    <w:rsid w:val="009F367B"/>
    <w:rsid w:val="009F4056"/>
    <w:rsid w:val="00A03AD8"/>
    <w:rsid w:val="00A15C1A"/>
    <w:rsid w:val="00A24617"/>
    <w:rsid w:val="00A3454B"/>
    <w:rsid w:val="00A50CAE"/>
    <w:rsid w:val="00A60ABB"/>
    <w:rsid w:val="00A646C6"/>
    <w:rsid w:val="00A666E5"/>
    <w:rsid w:val="00A67167"/>
    <w:rsid w:val="00A75953"/>
    <w:rsid w:val="00A826D5"/>
    <w:rsid w:val="00A82BBC"/>
    <w:rsid w:val="00A86550"/>
    <w:rsid w:val="00A9692E"/>
    <w:rsid w:val="00A978E5"/>
    <w:rsid w:val="00AB2378"/>
    <w:rsid w:val="00AB420B"/>
    <w:rsid w:val="00AB4934"/>
    <w:rsid w:val="00AB5C8F"/>
    <w:rsid w:val="00AB6F3A"/>
    <w:rsid w:val="00AC4BA5"/>
    <w:rsid w:val="00AC5DDB"/>
    <w:rsid w:val="00AD44C3"/>
    <w:rsid w:val="00AE21D7"/>
    <w:rsid w:val="00AE2565"/>
    <w:rsid w:val="00AE3B83"/>
    <w:rsid w:val="00AE4D12"/>
    <w:rsid w:val="00B10618"/>
    <w:rsid w:val="00B30322"/>
    <w:rsid w:val="00B347EA"/>
    <w:rsid w:val="00B3797D"/>
    <w:rsid w:val="00B37B27"/>
    <w:rsid w:val="00B568E1"/>
    <w:rsid w:val="00B6648B"/>
    <w:rsid w:val="00B676B3"/>
    <w:rsid w:val="00B769F2"/>
    <w:rsid w:val="00B812D6"/>
    <w:rsid w:val="00B84D2E"/>
    <w:rsid w:val="00B91CF2"/>
    <w:rsid w:val="00B923BD"/>
    <w:rsid w:val="00B96135"/>
    <w:rsid w:val="00B97474"/>
    <w:rsid w:val="00BA2F1B"/>
    <w:rsid w:val="00BB0C31"/>
    <w:rsid w:val="00BB638A"/>
    <w:rsid w:val="00BB7D6E"/>
    <w:rsid w:val="00BC3EDB"/>
    <w:rsid w:val="00BC57D8"/>
    <w:rsid w:val="00BD07E4"/>
    <w:rsid w:val="00BD5C2E"/>
    <w:rsid w:val="00BD6893"/>
    <w:rsid w:val="00BD6C35"/>
    <w:rsid w:val="00BE23C2"/>
    <w:rsid w:val="00BE4DAB"/>
    <w:rsid w:val="00BE5D80"/>
    <w:rsid w:val="00BF34FB"/>
    <w:rsid w:val="00BF3C47"/>
    <w:rsid w:val="00C1570A"/>
    <w:rsid w:val="00C207E3"/>
    <w:rsid w:val="00C245DD"/>
    <w:rsid w:val="00C27DA6"/>
    <w:rsid w:val="00C35A78"/>
    <w:rsid w:val="00C41A49"/>
    <w:rsid w:val="00C435A3"/>
    <w:rsid w:val="00C4745D"/>
    <w:rsid w:val="00C5167F"/>
    <w:rsid w:val="00C56FBB"/>
    <w:rsid w:val="00C67826"/>
    <w:rsid w:val="00C80CA9"/>
    <w:rsid w:val="00C84B62"/>
    <w:rsid w:val="00CA4F58"/>
    <w:rsid w:val="00CC0494"/>
    <w:rsid w:val="00CC2179"/>
    <w:rsid w:val="00CD2D0C"/>
    <w:rsid w:val="00CD2F63"/>
    <w:rsid w:val="00CD71F3"/>
    <w:rsid w:val="00CE09FB"/>
    <w:rsid w:val="00CE4C21"/>
    <w:rsid w:val="00CE63D2"/>
    <w:rsid w:val="00CF2319"/>
    <w:rsid w:val="00D15C92"/>
    <w:rsid w:val="00D4009A"/>
    <w:rsid w:val="00D4031B"/>
    <w:rsid w:val="00D51C85"/>
    <w:rsid w:val="00D52B69"/>
    <w:rsid w:val="00D55BD6"/>
    <w:rsid w:val="00D67B32"/>
    <w:rsid w:val="00D70EA4"/>
    <w:rsid w:val="00D75410"/>
    <w:rsid w:val="00D81165"/>
    <w:rsid w:val="00D85817"/>
    <w:rsid w:val="00D87610"/>
    <w:rsid w:val="00D93F3C"/>
    <w:rsid w:val="00D95F07"/>
    <w:rsid w:val="00DA206F"/>
    <w:rsid w:val="00DA7DE6"/>
    <w:rsid w:val="00DC06C1"/>
    <w:rsid w:val="00DC4CE2"/>
    <w:rsid w:val="00DD35A8"/>
    <w:rsid w:val="00DE4D83"/>
    <w:rsid w:val="00DE549F"/>
    <w:rsid w:val="00DE6D82"/>
    <w:rsid w:val="00E04E52"/>
    <w:rsid w:val="00E05A99"/>
    <w:rsid w:val="00E070F5"/>
    <w:rsid w:val="00E156A8"/>
    <w:rsid w:val="00E25A6C"/>
    <w:rsid w:val="00E442DE"/>
    <w:rsid w:val="00E56EBA"/>
    <w:rsid w:val="00E60614"/>
    <w:rsid w:val="00E62A2A"/>
    <w:rsid w:val="00E972B9"/>
    <w:rsid w:val="00EA71B5"/>
    <w:rsid w:val="00EC55B8"/>
    <w:rsid w:val="00EE2DAA"/>
    <w:rsid w:val="00EF0391"/>
    <w:rsid w:val="00EF54B5"/>
    <w:rsid w:val="00F05842"/>
    <w:rsid w:val="00F10046"/>
    <w:rsid w:val="00F232D6"/>
    <w:rsid w:val="00F30B0F"/>
    <w:rsid w:val="00F358A5"/>
    <w:rsid w:val="00F40EE0"/>
    <w:rsid w:val="00F43E2C"/>
    <w:rsid w:val="00F52725"/>
    <w:rsid w:val="00F64776"/>
    <w:rsid w:val="00F8438A"/>
    <w:rsid w:val="00F900C5"/>
    <w:rsid w:val="00F90B97"/>
    <w:rsid w:val="00F928B5"/>
    <w:rsid w:val="00FA60C8"/>
    <w:rsid w:val="00FC31EA"/>
    <w:rsid w:val="00FC3BFE"/>
    <w:rsid w:val="00FC5E1D"/>
    <w:rsid w:val="00FD0269"/>
    <w:rsid w:val="00FD2635"/>
    <w:rsid w:val="00FD443E"/>
    <w:rsid w:val="00FE21EA"/>
    <w:rsid w:val="00FE7EB1"/>
    <w:rsid w:val="023A4BFB"/>
    <w:rsid w:val="04A4694E"/>
    <w:rsid w:val="129739A4"/>
    <w:rsid w:val="1ED2CC84"/>
    <w:rsid w:val="3FF55472"/>
    <w:rsid w:val="412D3C5B"/>
    <w:rsid w:val="55D8E02C"/>
    <w:rsid w:val="587512DB"/>
    <w:rsid w:val="5DF25A7A"/>
    <w:rsid w:val="6E3D5920"/>
    <w:rsid w:val="6ED32246"/>
    <w:rsid w:val="6FFB786F"/>
    <w:rsid w:val="77B5517C"/>
    <w:rsid w:val="7DD7463C"/>
    <w:rsid w:val="8BBFCCD3"/>
    <w:rsid w:val="D9B71A0B"/>
    <w:rsid w:val="FBFFD554"/>
    <w:rsid w:val="FF7B4E93"/>
    <w:rsid w:val="FF7FE93E"/>
    <w:rsid w:val="FFE57D92"/>
    <w:rsid w:val="FFEEEF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
    <w:qFormat/>
    <w:uiPriority w:val="0"/>
    <w:pPr>
      <w:keepNext/>
      <w:keepLines/>
      <w:spacing w:before="340" w:after="330" w:line="578" w:lineRule="auto"/>
      <w:outlineLvl w:val="0"/>
    </w:pPr>
    <w:rPr>
      <w:rFonts w:ascii="Calibri" w:hAnsi="Calibri"/>
      <w:b/>
      <w:bCs/>
      <w:kern w:val="44"/>
      <w:sz w:val="44"/>
      <w:szCs w:val="4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footer"/>
    <w:basedOn w:val="1"/>
    <w:next w:val="3"/>
    <w:link w:val="13"/>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5">
    <w:name w:val="Document Map"/>
    <w:basedOn w:val="1"/>
    <w:semiHidden/>
    <w:qFormat/>
    <w:uiPriority w:val="0"/>
    <w:pPr>
      <w:shd w:val="clear" w:color="auto" w:fill="000080"/>
    </w:pPr>
  </w:style>
  <w:style w:type="paragraph" w:styleId="6">
    <w:name w:val="toc 3"/>
    <w:basedOn w:val="1"/>
    <w:next w:val="1"/>
    <w:qFormat/>
    <w:uiPriority w:val="0"/>
    <w:pPr>
      <w:ind w:left="840" w:leftChars="400"/>
    </w:pPr>
  </w:style>
  <w:style w:type="paragraph" w:styleId="7">
    <w:name w:val="Date"/>
    <w:basedOn w:val="1"/>
    <w:next w:val="1"/>
    <w:link w:val="16"/>
    <w:qFormat/>
    <w:uiPriority w:val="0"/>
    <w:pPr>
      <w:ind w:left="100" w:leftChars="2500"/>
    </w:p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qFormat/>
    <w:uiPriority w:val="0"/>
    <w:rPr>
      <w:b/>
      <w:bCs/>
    </w:rPr>
  </w:style>
  <w:style w:type="character" w:customStyle="1" w:styleId="13">
    <w:name w:val="页脚 Char"/>
    <w:link w:val="2"/>
    <w:uiPriority w:val="99"/>
    <w:rPr>
      <w:kern w:val="2"/>
      <w:sz w:val="18"/>
      <w:szCs w:val="18"/>
    </w:rPr>
  </w:style>
  <w:style w:type="character" w:customStyle="1" w:styleId="14">
    <w:name w:val="标题 1 Char"/>
    <w:link w:val="4"/>
    <w:qFormat/>
    <w:uiPriority w:val="0"/>
    <w:rPr>
      <w:rFonts w:ascii="Calibri" w:hAnsi="Calibri"/>
      <w:b/>
      <w:bCs/>
      <w:kern w:val="44"/>
      <w:sz w:val="44"/>
      <w:szCs w:val="44"/>
    </w:rPr>
  </w:style>
  <w:style w:type="character" w:customStyle="1" w:styleId="15">
    <w:name w:val="页眉 Char"/>
    <w:link w:val="8"/>
    <w:qFormat/>
    <w:uiPriority w:val="0"/>
    <w:rPr>
      <w:kern w:val="2"/>
      <w:sz w:val="18"/>
      <w:szCs w:val="18"/>
    </w:rPr>
  </w:style>
  <w:style w:type="character" w:customStyle="1" w:styleId="16">
    <w:name w:val="日期 Char"/>
    <w:link w:val="7"/>
    <w:uiPriority w:val="0"/>
    <w:rPr>
      <w:kern w:val="2"/>
      <w:sz w:val="21"/>
      <w:szCs w:val="24"/>
    </w:rPr>
  </w:style>
  <w:style w:type="character" w:customStyle="1" w:styleId="17">
    <w:name w:val="_Style 16"/>
    <w:qFormat/>
    <w:uiPriority w:val="33"/>
    <w:rPr>
      <w:b/>
      <w:bCs/>
      <w:i/>
      <w:iCs/>
      <w:spacing w:val="5"/>
    </w:rPr>
  </w:style>
  <w:style w:type="paragraph" w:customStyle="1" w:styleId="18">
    <w:name w:val="List Paragraph"/>
    <w:basedOn w:val="1"/>
    <w:qFormat/>
    <w:uiPriority w:val="0"/>
    <w:pPr>
      <w:ind w:firstLine="420" w:firstLineChars="200"/>
    </w:pPr>
    <w:rPr>
      <w:rFonts w:ascii="Calibri" w:hAnsi="Calibri" w:cs="宋体"/>
      <w:szCs w:val="21"/>
    </w:rPr>
  </w:style>
  <w:style w:type="paragraph" w:customStyle="1" w:styleId="19">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10</Pages>
  <Words>5016</Words>
  <Characters>5162</Characters>
  <Lines>1</Lines>
  <Paragraphs>1</Paragraphs>
  <TotalTime>1</TotalTime>
  <ScaleCrop>false</ScaleCrop>
  <LinksUpToDate>false</LinksUpToDate>
  <CharactersWithSpaces>5171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2021-12-29T10:34:00Z</dcterms:created>
  <dc:creator>蔡蓓雯</dc:creator>
  <cp:lastModifiedBy>于浩</cp:lastModifiedBy>
  <cp:lastPrinted>2023-03-24T00:15:00Z</cp:lastPrinted>
  <dcterms:modified xsi:type="dcterms:W3CDTF">2026-01-30T08:01:41Z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03B0C53F57D74F63BFA78025E0771F51</vt:lpwstr>
  </property>
  <property fmtid="{D5CDD505-2E9C-101B-9397-08002B2CF9AE}" pid="4" name="KSOTemplateDocerSaveRecord">
    <vt:lpwstr>eyJoZGlkIjoiNGFkOTBlYTdiZDBmYWZlNDM1MmM1MmQ2MjY1N2M0NTUiLCJ1c2VySWQiOiIxMzQ1NzQ2NjQ3In0=</vt:lpwstr>
  </property>
</Properties>
</file>