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</w:p>
    <w:p>
      <w:pPr>
        <w:pStyle w:val="4"/>
        <w:tabs>
          <w:tab w:val="left" w:pos="1620"/>
          <w:tab w:val="left" w:pos="5040"/>
          <w:tab w:val="left" w:pos="6660"/>
        </w:tabs>
        <w:spacing w:line="56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铁皮石斛粉</w:t>
      </w:r>
    </w:p>
    <w:p>
      <w:pPr>
        <w:pStyle w:val="4"/>
        <w:tabs>
          <w:tab w:val="left" w:pos="1620"/>
          <w:tab w:val="left" w:pos="5040"/>
          <w:tab w:val="left" w:pos="6660"/>
        </w:tabs>
        <w:spacing w:line="560" w:lineRule="exact"/>
        <w:jc w:val="center"/>
        <w:outlineLvl w:val="0"/>
        <w:rPr>
          <w:rFonts w:hint="default" w:ascii="Times New Roman" w:hAnsi="Times New Roman" w:eastAsia="宋体" w:cs="Times New Roman"/>
          <w:b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Tiepishihu Fen</w:t>
      </w:r>
    </w:p>
    <w:p>
      <w:pPr>
        <w:pStyle w:val="4"/>
        <w:tabs>
          <w:tab w:val="left" w:pos="1620"/>
          <w:tab w:val="left" w:pos="5040"/>
          <w:tab w:val="left" w:pos="6660"/>
        </w:tabs>
        <w:spacing w:line="560" w:lineRule="exact"/>
        <w:jc w:val="center"/>
        <w:outlineLvl w:val="0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pStyle w:val="4"/>
        <w:tabs>
          <w:tab w:val="left" w:pos="1620"/>
          <w:tab w:val="left" w:pos="5040"/>
          <w:tab w:val="left" w:pos="6660"/>
        </w:tabs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本品为兰科植物铁皮石斛</w:t>
      </w:r>
      <w:r>
        <w:rPr>
          <w:rFonts w:hint="default" w:ascii="Times New Roman" w:hAnsi="Times New Roman" w:eastAsia="宋体" w:cs="Times New Roman"/>
          <w:bCs/>
          <w:i/>
          <w:sz w:val="24"/>
          <w:szCs w:val="24"/>
        </w:rPr>
        <w:t xml:space="preserve">Dendrobium officinale </w:t>
      </w:r>
      <w:r>
        <w:rPr>
          <w:rFonts w:hint="default" w:ascii="Times New Roman" w:hAnsi="Times New Roman" w:eastAsia="宋体" w:cs="Times New Roman"/>
          <w:bCs/>
          <w:i w:val="0"/>
          <w:iCs/>
          <w:sz w:val="24"/>
          <w:szCs w:val="24"/>
        </w:rPr>
        <w:t>Kimura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et Migo</w:t>
      </w:r>
      <w:r>
        <w:rPr>
          <w:rFonts w:hint="default" w:ascii="Times New Roman" w:hAnsi="Times New Roman" w:eastAsia="宋体" w:cs="Times New Roman"/>
          <w:sz w:val="24"/>
          <w:szCs w:val="24"/>
        </w:rPr>
        <w:t>的鲜茎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的炮制加工品。</w:t>
      </w:r>
    </w:p>
    <w:p>
      <w:pPr>
        <w:pStyle w:val="4"/>
        <w:tabs>
          <w:tab w:val="left" w:pos="1620"/>
          <w:tab w:val="left" w:pos="5040"/>
          <w:tab w:val="left" w:pos="6660"/>
        </w:tabs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sz w:val="24"/>
          <w:szCs w:val="24"/>
        </w:rPr>
        <w:t>炮制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取铁皮石斛鲜茎，除去叶和须根等杂质，洗净，切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制成0.3～0.5cm的小段，冷冻干燥后，粉碎，过80目筛，即得。</w:t>
      </w:r>
    </w:p>
    <w:p>
      <w:pPr>
        <w:pStyle w:val="4"/>
        <w:tabs>
          <w:tab w:val="left" w:pos="1620"/>
          <w:tab w:val="left" w:pos="5040"/>
          <w:tab w:val="left" w:pos="6660"/>
        </w:tabs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sz w:val="24"/>
          <w:szCs w:val="24"/>
        </w:rPr>
        <w:t>性状</w:t>
      </w:r>
      <w:r>
        <w:rPr>
          <w:rFonts w:hint="default" w:ascii="Times New Roman" w:hAnsi="Times New Roman" w:eastAsia="宋体" w:cs="Times New Roman"/>
          <w:sz w:val="24"/>
          <w:szCs w:val="24"/>
        </w:rPr>
        <w:t>】 本品为浅黄绿色至绿色的粉末；气微，味淡。</w:t>
      </w:r>
    </w:p>
    <w:p>
      <w:pPr>
        <w:snapToGrid w:val="0"/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sz w:val="24"/>
          <w:szCs w:val="24"/>
        </w:rPr>
        <w:t>鉴别</w:t>
      </w:r>
      <w:r>
        <w:rPr>
          <w:rFonts w:hint="default" w:ascii="Times New Roman" w:hAnsi="Times New Roman" w:eastAsia="宋体" w:cs="Times New Roman"/>
          <w:sz w:val="24"/>
          <w:szCs w:val="24"/>
        </w:rPr>
        <w:t>】 （1）本品粉末浅黄绿色。表皮细胞表面观长多角形或不规则形，壁厚，垂周壁平直或稍弯曲。纤维多成束，无色或淡黄色，壁厚，末端尖或钝圆，有的壁上可见齿状突起。纤维束周围细胞含类圆形硅质块，纵行排列。草酸钙针晶多成束或散在，常见于黏液细胞中。导管主为梯纹导管，少数为螺纹导管。淀粉粒以单粒为主，类圆形或椭圆形，直径2～16μm，脐点点状、裂缝状或不明显；复粒少数，由2～4分粒组成。</w:t>
      </w:r>
    </w:p>
    <w:p>
      <w:pPr>
        <w:snapToGrid w:val="0"/>
        <w:spacing w:line="560" w:lineRule="exact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（2）取本品1g，加三氯甲烷-甲醇（9:1）混合溶液15ml，超声处理20分钟，滤过，滤液作为供试品溶液。另取铁皮石斛对照药材1g，同法制成对照药材溶液。照薄层色谱法（中国药典20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年版四部通则0502）试验，吸取上述两种溶液各2～5μl，分别点于同一硅胶G薄层板上，以甲苯-甲酸乙酯-88%甲酸（6:3:1）为展开剂，展开，取出，烘干，置紫外光灯(365nm)下检视。供试品色谱中，在与对照药材色谱相应的位置上，显相同颜色的荧光斑点。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sz w:val="24"/>
          <w:szCs w:val="24"/>
        </w:rPr>
        <w:t>检查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】 </w:t>
      </w:r>
      <w:r>
        <w:rPr>
          <w:rFonts w:hint="eastAsia" w:ascii="黑体" w:hAnsi="黑体" w:eastAsia="黑体" w:cs="黑体"/>
          <w:sz w:val="24"/>
          <w:szCs w:val="24"/>
        </w:rPr>
        <w:t>甘露糖与葡萄糖峰面积比</w:t>
      </w:r>
      <w:r>
        <w:rPr>
          <w:rFonts w:hint="default" w:ascii="Times New Roman" w:hAnsi="Times New Roman" w:eastAsia="宋体" w:cs="Times New Roman"/>
          <w:sz w:val="24"/>
          <w:szCs w:val="24"/>
        </w:rPr>
        <w:t>  取葡萄糖对照品适量，精密称定，加水制成每1ml含50μg的溶液，作为对照品溶液。精密吸取0.4ml，按[含量测定]甘露糖项下方法依法测定。供试品色谱中，甘露糖与葡萄糖的峰面积比应为2.4～8.0。</w:t>
      </w:r>
    </w:p>
    <w:p>
      <w:pPr>
        <w:snapToGrid w:val="0"/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水分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不得过10.0%（中国药典20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年版四部通则0832第二法）。</w:t>
      </w:r>
    </w:p>
    <w:p>
      <w:pPr>
        <w:snapToGrid w:val="0"/>
        <w:spacing w:line="560" w:lineRule="exact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总灰分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不得过6.0%（中国药典20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年版四部通则2302）。</w:t>
      </w:r>
    </w:p>
    <w:p>
      <w:pPr>
        <w:snapToGrid w:val="0"/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微生物限度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照非无菌产品微生物限度检查：微生物计数法（中国药典20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年版四部通则1105)和控制菌检查法（中国药典20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年版四部通则1106），应符合规定。沙门氏菌每10g不得检出，耐胆盐革兰阴性菌小于10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cfu/g。</w:t>
      </w:r>
    </w:p>
    <w:p>
      <w:pPr>
        <w:snapToGrid w:val="0"/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sz w:val="24"/>
          <w:szCs w:val="24"/>
        </w:rPr>
        <w:t>粒度</w:t>
      </w:r>
      <w:r>
        <w:rPr>
          <w:rFonts w:hint="default" w:ascii="Times New Roman" w:hAnsi="Times New Roman" w:eastAsia="宋体" w:cs="Times New Roman"/>
          <w:sz w:val="24"/>
          <w:szCs w:val="24"/>
        </w:rPr>
        <w:t>】  照单筛分法（中国药典20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年版第四部通则0982）测定，本品粉末过5号筛通过率不得少于80%。</w:t>
      </w:r>
    </w:p>
    <w:p>
      <w:pPr>
        <w:snapToGrid w:val="0"/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sz w:val="24"/>
          <w:szCs w:val="24"/>
        </w:rPr>
        <w:t>浸出物</w:t>
      </w:r>
      <w:r>
        <w:rPr>
          <w:rFonts w:hint="default" w:ascii="Times New Roman" w:hAnsi="Times New Roman" w:eastAsia="宋体" w:cs="Times New Roman"/>
          <w:sz w:val="24"/>
          <w:szCs w:val="24"/>
        </w:rPr>
        <w:t>】 照醇溶性浸出物测定法（中国药典20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年版四部通则2201）项下的热浸法测定，用乙醇作溶剂，不得少于6.5％。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sz w:val="24"/>
          <w:szCs w:val="24"/>
        </w:rPr>
        <w:t>含量测定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】 </w:t>
      </w:r>
      <w:r>
        <w:rPr>
          <w:rFonts w:hint="eastAsia" w:ascii="黑体" w:hAnsi="黑体" w:eastAsia="黑体" w:cs="黑体"/>
          <w:sz w:val="24"/>
          <w:szCs w:val="24"/>
        </w:rPr>
        <w:t>多糖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</w:rPr>
        <w:t>对照品溶液的制备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取无水葡萄糖对照品适量，精密称定，加水制成每1ml含90μg的溶液，即得。</w:t>
      </w:r>
    </w:p>
    <w:p>
      <w:pPr>
        <w:snapToGrid w:val="0"/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标准曲线的制备</w:t>
      </w:r>
      <w:r>
        <w:rPr>
          <w:rFonts w:hint="default" w:ascii="Times New Roman" w:hAnsi="Times New Roman" w:eastAsia="宋体" w:cs="Times New Roman"/>
          <w:sz w:val="24"/>
          <w:szCs w:val="24"/>
        </w:rPr>
        <w:t>  精密量取对照品溶液0.2ml、0.4ml、0.6ml、0.8ml、1.0ml，分别置10ml具塞试管中，各加水补至1.0ml，精密加入5％苯酚溶液1ml（临用配制），摇匀，再精密加硫酸5ml，摇匀，置沸水浴中加热20分钟，取出，置冰浴中冷却5分钟，以相应试剂为空白，照紫外-可见分光光度法（中国药典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年版四部通则0401），在488nm的波长处测定吸光度，以吸光度为纵坐标，浓度为横坐标，绘制标准曲线。</w:t>
      </w:r>
    </w:p>
    <w:p>
      <w:pPr>
        <w:snapToGrid w:val="0"/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供试品溶液的制备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取本品约0.3g，精密称定，加水200ml，加热回流2小时，放冷，转移至250ml量瓶中，用少量水分次洗涤容器，洗液并入同一量瓶中，加水至刻度，摇匀，滤过，精密量取续滤液2ml，置15ml离心管中，精密加入无水乙醇10ml，摇匀，冷冻1小时，取出，离心（转速为每分钟4000转）20分钟，弃去上清液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必要时滤过</w:t>
      </w:r>
      <w:r>
        <w:rPr>
          <w:rFonts w:hint="default" w:ascii="Times New Roman" w:hAnsi="Times New Roman" w:eastAsia="宋体" w:cs="Times New Roman"/>
          <w:sz w:val="24"/>
          <w:szCs w:val="24"/>
        </w:rPr>
        <w:t>），沉淀加80％乙醇洗涤2次，每次8ml，离心，弃去上清液，沉淀加热水溶解，转移至25ml量瓶中，放冷，加水至刻度，摇匀，即得。</w:t>
      </w:r>
    </w:p>
    <w:p>
      <w:pPr>
        <w:snapToGrid w:val="0"/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测定法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精密量取供试品溶液1ml，置10ml具塞试管中，照标准曲线制备项下的方法，自“精密加入5％苯酚溶液1ml”起，依法测定吸光度，从标准曲线上读出供试品溶液中无水葡萄糖的量，计算，即得。</w:t>
      </w:r>
    </w:p>
    <w:p>
      <w:pPr>
        <w:snapToGrid w:val="0"/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本品按干燥品计算，含铁皮石斛多糖以无水葡萄糖（C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H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</w:rPr>
        <w:t>O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）计，不得少于25.0％。</w:t>
      </w:r>
    </w:p>
    <w:p>
      <w:pPr>
        <w:snapToGrid w:val="0"/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甘露糖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照高效液相色谱法（中国药典20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年版四部通则0512）测定。</w:t>
      </w:r>
    </w:p>
    <w:p>
      <w:pPr>
        <w:snapToGrid w:val="0"/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色谱条件与系统适用性试验  以十八烷基硅烷键合硅胶为填充剂；以乙腈-0.02mol／L的乙酸铵溶液（20:80）为流动相；检测波长为250nm。理论板数按甘露糖峰计算应不低于4000。</w:t>
      </w:r>
    </w:p>
    <w:p>
      <w:pPr>
        <w:snapToGrid w:val="0"/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校正因子测定  取盐酸氨基葡萄糖适量，精密称定，加水制成每1ml含12mg的溶液，作为内标溶液。另取甘露糖对照品约10mg，精密称定，置100ml量瓶中，精密加入内标溶液1ml，加水适量使溶解并稀释至刻度，摇匀，吸取400μl，加0.5mo1／L的PMP（1-苯基-3-甲基-5-吡唑啉酮）甲醇溶液与0.3mol／L的氢氧化钠溶液各400μl，混匀，70℃水浴反应100分钟。再加0.3mol／L的盐酸溶液500μl，混匀，用三氯甲烷洗涤3次，每次2ml，弃去三氯甲烷液，水层离心后，取上清液10μl，注入液相色谱仪，测定，计算校正因子。</w:t>
      </w:r>
    </w:p>
    <w:p>
      <w:pPr>
        <w:snapToGrid w:val="0"/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测定法  取本品约0.12g，精密称定，置索氏提取器中，加80％乙醇适量，加热回流提取4小时，弃去乙醇液，药渣挥干乙醇，滤纸筒拆开置于烧杯中，加水100ml，再精密加入内标溶液2ml，煎煮1小时并时时搅拌，放冷，加水补至约100ml，混匀，离心，吸取上清液1ml，置安瓿瓶或顶空瓶中，加3.0mol／L的盐酸溶液0.5ml，封口，混匀，110℃水解1小时，放冷，用3.0mol／L的氢氧化钠溶液调节pH值至中性，吸取400μl，照校正因子测定方法，自“加0.5mol／L的PMP甲醇溶液”起，依法操作，取上清液10μl，注入液相色谱仪，测定，即得。</w:t>
      </w:r>
    </w:p>
    <w:p>
      <w:pPr>
        <w:snapToGrid w:val="0"/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本品按干燥品计算，含甘露糖（C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H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</w:rPr>
        <w:t>O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）应为13.0％～38.0％。</w:t>
      </w:r>
    </w:p>
    <w:p>
      <w:pPr>
        <w:snapToGrid w:val="0"/>
        <w:spacing w:line="560" w:lineRule="exact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sz w:val="24"/>
          <w:szCs w:val="24"/>
        </w:rPr>
        <w:t>性味与归经</w:t>
      </w:r>
      <w:r>
        <w:rPr>
          <w:rFonts w:hint="default" w:ascii="Times New Roman" w:hAnsi="Times New Roman" w:eastAsia="宋体" w:cs="Times New Roman"/>
          <w:sz w:val="24"/>
          <w:szCs w:val="24"/>
        </w:rPr>
        <w:t>】 甘，微寒。归胃、肾经。</w:t>
      </w:r>
    </w:p>
    <w:p>
      <w:pPr>
        <w:snapToGrid w:val="0"/>
        <w:spacing w:line="560" w:lineRule="exact"/>
        <w:ind w:firstLine="360" w:firstLineChars="15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sz w:val="24"/>
          <w:szCs w:val="24"/>
        </w:rPr>
        <w:t>功能与主治</w:t>
      </w:r>
      <w:r>
        <w:rPr>
          <w:rFonts w:hint="default" w:ascii="Times New Roman" w:hAnsi="Times New Roman" w:eastAsia="宋体" w:cs="Times New Roman"/>
          <w:sz w:val="24"/>
          <w:szCs w:val="24"/>
        </w:rPr>
        <w:t>】 益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胃生津，滋阴清热。用于热病津伤，口干烦渴，胃阴不足，食少干呕，病后虚热不退，阴虚火旺，骨蒸劳热，目暗不明，筋骨萎软。</w:t>
      </w:r>
    </w:p>
    <w:p>
      <w:pPr>
        <w:spacing w:line="560" w:lineRule="exact"/>
        <w:ind w:firstLine="360" w:firstLineChars="15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sz w:val="24"/>
          <w:szCs w:val="24"/>
        </w:rPr>
        <w:t>用法与用量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】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6～12g。</w:t>
      </w:r>
    </w:p>
    <w:p>
      <w:pPr>
        <w:spacing w:line="560" w:lineRule="exact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sz w:val="24"/>
          <w:szCs w:val="24"/>
        </w:rPr>
        <w:t>贮藏</w:t>
      </w:r>
      <w:r>
        <w:rPr>
          <w:rFonts w:hint="default" w:ascii="Times New Roman" w:hAnsi="Times New Roman" w:eastAsia="宋体" w:cs="Times New Roman"/>
          <w:sz w:val="24"/>
          <w:szCs w:val="24"/>
        </w:rPr>
        <w:t>】 密封，置阴凉、通风干燥处，防潮。</w:t>
      </w:r>
    </w:p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  <w:rPr>
        <w:rFonts w:hint="eastAsia" w:ascii="黑体" w:hAnsi="黑体" w:eastAsia="黑体" w:cs="黑体"/>
        <w:sz w:val="52"/>
        <w:szCs w:val="52"/>
        <w:lang w:val="en-US" w:eastAsia="zh-CN"/>
      </w:rPr>
    </w:pPr>
    <w:r>
      <w:rPr>
        <w:rFonts w:hint="eastAsia" w:ascii="黑体" w:hAnsi="黑体" w:eastAsia="黑体" w:cs="黑体"/>
        <w:sz w:val="52"/>
        <w:szCs w:val="52"/>
        <w:lang w:val="en-US" w:eastAsia="zh-CN"/>
      </w:rPr>
      <w:t>湖北省中药饮片质量标准</w:t>
    </w:r>
  </w:p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300" w:lineRule="exact"/>
      <w:jc w:val="center"/>
      <w:textAlignment w:val="auto"/>
      <w:rPr>
        <w:rFonts w:hint="eastAsia" w:ascii="黑体" w:hAnsi="黑体" w:eastAsia="黑体" w:cs="黑体"/>
        <w:sz w:val="52"/>
        <w:szCs w:val="52"/>
        <w:lang w:val="en-US" w:eastAsia="zh-CN"/>
      </w:rPr>
    </w:pPr>
  </w:p>
  <w:p>
    <w:pPr>
      <w:pBdr>
        <w:bottom w:val="single" w:color="auto" w:sz="4" w:space="0"/>
      </w:pBdr>
      <w:jc w:val="right"/>
      <w:rPr>
        <w:rFonts w:hint="default" w:ascii="Times New Roman" w:hAnsi="Times New Roman" w:cs="Times New Roman"/>
        <w:sz w:val="36"/>
        <w:szCs w:val="36"/>
        <w:lang w:val="en-US" w:eastAsia="zh-CN"/>
      </w:rPr>
    </w:pPr>
    <w:r>
      <w:rPr>
        <w:rFonts w:hint="eastAsia" w:ascii="宋体" w:hAnsi="宋体" w:eastAsia="宋体" w:cs="宋体"/>
        <w:b w:val="0"/>
        <w:bCs w:val="0"/>
        <w:sz w:val="36"/>
        <w:szCs w:val="36"/>
        <w:lang w:val="en-US" w:eastAsia="zh-CN"/>
      </w:rPr>
      <w:t>鄂</w:t>
    </w:r>
    <w:r>
      <w:rPr>
        <w:rFonts w:hint="eastAsia" w:ascii="Times New Roman" w:hAnsi="Times New Roman" w:cs="Times New Roman"/>
        <w:sz w:val="36"/>
        <w:szCs w:val="36"/>
        <w:lang w:val="en-US" w:eastAsia="zh-CN"/>
      </w:rPr>
      <w:t>YP-20220001</w:t>
    </w:r>
  </w:p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ZGEyMWZkNzY5NzMwOWM2MmNkZjM4OTQwZTFlNmQifQ=="/>
  </w:docVars>
  <w:rsids>
    <w:rsidRoot w:val="00E73F8F"/>
    <w:rsid w:val="00046E2F"/>
    <w:rsid w:val="000610BF"/>
    <w:rsid w:val="000D3702"/>
    <w:rsid w:val="000F68DC"/>
    <w:rsid w:val="00193DBF"/>
    <w:rsid w:val="001F2C86"/>
    <w:rsid w:val="0020215F"/>
    <w:rsid w:val="00260344"/>
    <w:rsid w:val="002A71BA"/>
    <w:rsid w:val="002D47AD"/>
    <w:rsid w:val="003413CE"/>
    <w:rsid w:val="00354C0D"/>
    <w:rsid w:val="003B58E0"/>
    <w:rsid w:val="003B5CDD"/>
    <w:rsid w:val="003F0743"/>
    <w:rsid w:val="00450AE3"/>
    <w:rsid w:val="00474428"/>
    <w:rsid w:val="0051555A"/>
    <w:rsid w:val="00526CB1"/>
    <w:rsid w:val="00537159"/>
    <w:rsid w:val="00576C96"/>
    <w:rsid w:val="005B3B53"/>
    <w:rsid w:val="00613B41"/>
    <w:rsid w:val="00623FD2"/>
    <w:rsid w:val="00624716"/>
    <w:rsid w:val="006949A5"/>
    <w:rsid w:val="006C67AE"/>
    <w:rsid w:val="007354A4"/>
    <w:rsid w:val="007909BF"/>
    <w:rsid w:val="007A6BA8"/>
    <w:rsid w:val="00812CB7"/>
    <w:rsid w:val="00824025"/>
    <w:rsid w:val="00983636"/>
    <w:rsid w:val="009D6D9E"/>
    <w:rsid w:val="00A07E3E"/>
    <w:rsid w:val="00A1460E"/>
    <w:rsid w:val="00A40E6B"/>
    <w:rsid w:val="00A857F1"/>
    <w:rsid w:val="00A86999"/>
    <w:rsid w:val="00AA0520"/>
    <w:rsid w:val="00AC4A61"/>
    <w:rsid w:val="00B67E5D"/>
    <w:rsid w:val="00B75BDC"/>
    <w:rsid w:val="00BB61FE"/>
    <w:rsid w:val="00C130AD"/>
    <w:rsid w:val="00C24716"/>
    <w:rsid w:val="00CB650C"/>
    <w:rsid w:val="00CC145F"/>
    <w:rsid w:val="00D519C2"/>
    <w:rsid w:val="00D93379"/>
    <w:rsid w:val="00D93832"/>
    <w:rsid w:val="00DB0561"/>
    <w:rsid w:val="00DE5222"/>
    <w:rsid w:val="00DE6EB9"/>
    <w:rsid w:val="00E439BA"/>
    <w:rsid w:val="00E70FD9"/>
    <w:rsid w:val="00E73F8F"/>
    <w:rsid w:val="00E8479F"/>
    <w:rsid w:val="00F03304"/>
    <w:rsid w:val="00F111F6"/>
    <w:rsid w:val="00F12D01"/>
    <w:rsid w:val="00F134D5"/>
    <w:rsid w:val="00F142C7"/>
    <w:rsid w:val="00F70373"/>
    <w:rsid w:val="00F728C4"/>
    <w:rsid w:val="00FA6295"/>
    <w:rsid w:val="01321ECC"/>
    <w:rsid w:val="03952B20"/>
    <w:rsid w:val="0954303A"/>
    <w:rsid w:val="097E79C7"/>
    <w:rsid w:val="0B2402A5"/>
    <w:rsid w:val="0B524AA2"/>
    <w:rsid w:val="0C604F8D"/>
    <w:rsid w:val="0D344D8D"/>
    <w:rsid w:val="0E433265"/>
    <w:rsid w:val="116B03CF"/>
    <w:rsid w:val="12985C51"/>
    <w:rsid w:val="12C9427B"/>
    <w:rsid w:val="1CE41547"/>
    <w:rsid w:val="226342FE"/>
    <w:rsid w:val="29F50F7F"/>
    <w:rsid w:val="2BE832F8"/>
    <w:rsid w:val="3861019B"/>
    <w:rsid w:val="3A2B6DA9"/>
    <w:rsid w:val="4DB37359"/>
    <w:rsid w:val="4E293ADD"/>
    <w:rsid w:val="5DC4060A"/>
    <w:rsid w:val="5DE850D2"/>
    <w:rsid w:val="6C4F0C8D"/>
    <w:rsid w:val="6C543C4F"/>
    <w:rsid w:val="703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20" w:after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ascii="Times New Roman" w:hAnsi="Times New Roman" w:eastAsiaTheme="majorEastAsia" w:cstheme="majorBidi"/>
      <w:bCs/>
      <w:sz w:val="2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ascii="Times New Roman" w:hAnsi="Times New Roman"/>
      <w:b/>
      <w:bCs/>
      <w:kern w:val="44"/>
      <w:sz w:val="28"/>
      <w:szCs w:val="44"/>
    </w:rPr>
  </w:style>
  <w:style w:type="character" w:customStyle="1" w:styleId="17">
    <w:name w:val="标题 Char"/>
    <w:basedOn w:val="11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8">
    <w:name w:val="标题 2 Char"/>
    <w:basedOn w:val="11"/>
    <w:link w:val="3"/>
    <w:qFormat/>
    <w:uiPriority w:val="9"/>
    <w:rPr>
      <w:rFonts w:ascii="Times New Roman" w:hAnsi="Times New Roman" w:eastAsiaTheme="majorEastAsia" w:cstheme="majorBidi"/>
      <w:bCs/>
      <w:sz w:val="24"/>
      <w:szCs w:val="32"/>
    </w:rPr>
  </w:style>
  <w:style w:type="table" w:customStyle="1" w:styleId="19">
    <w:name w:val="三线表"/>
    <w:basedOn w:val="9"/>
    <w:qFormat/>
    <w:uiPriority w:val="99"/>
    <w:rPr>
      <w:rFonts w:ascii="Calibri" w:hAnsi="Calibri" w:eastAsia="宋体" w:cs="Times New Roman"/>
      <w:sz w:val="21"/>
    </w:rPr>
    <w:tblPr>
      <w:jc w:val="center"/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cPr>
        <w:tcBorders>
          <w:top w:val="single" w:color="auto" w:sz="12" w:space="0"/>
          <w:left w:val="nil"/>
          <w:bottom w:val="single" w:color="auto" w:sz="8" w:space="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51C0-6B13-42FF-A39E-63F2E94876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1863</Words>
  <Characters>2212</Characters>
  <Lines>14</Lines>
  <Paragraphs>4</Paragraphs>
  <TotalTime>6</TotalTime>
  <ScaleCrop>false</ScaleCrop>
  <LinksUpToDate>false</LinksUpToDate>
  <CharactersWithSpaces>2277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2021-09-01T09:56:00Z</dcterms:created>
  <dc:creator>zyj</dc:creator>
  <cp:lastModifiedBy>Administrator</cp:lastModifiedBy>
  <dcterms:modified xsi:type="dcterms:W3CDTF">2022-07-05T03:00:39Z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F34E6BFFE8DD4FA99C446BD2D87224B7</vt:lpwstr>
  </property>
</Properties>
</file>