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CD" w:rsidRPr="00757F82" w:rsidRDefault="008023CD" w:rsidP="008023CD">
      <w:pPr>
        <w:rPr>
          <w:rFonts w:ascii="方正黑体_GBK" w:eastAsia="方正黑体_GBK" w:hAnsi="黑体" w:hint="eastAsia"/>
          <w:color w:val="000000"/>
          <w:sz w:val="32"/>
          <w:szCs w:val="32"/>
        </w:rPr>
      </w:pPr>
      <w:r w:rsidRPr="00757F82">
        <w:rPr>
          <w:rFonts w:ascii="方正黑体_GBK" w:eastAsia="方正黑体_GBK" w:hAnsi="黑体" w:hint="eastAsia"/>
          <w:color w:val="000000"/>
          <w:sz w:val="32"/>
          <w:szCs w:val="32"/>
        </w:rPr>
        <w:t>附件2</w:t>
      </w:r>
    </w:p>
    <w:p w:rsidR="008023CD" w:rsidRDefault="008023CD" w:rsidP="008023CD">
      <w:pPr>
        <w:snapToGrid w:val="0"/>
        <w:spacing w:line="260" w:lineRule="exact"/>
        <w:jc w:val="center"/>
        <w:rPr>
          <w:rFonts w:ascii="方正小标宋简体" w:eastAsia="方正小标宋简体" w:hAnsi="仿宋"/>
          <w:color w:val="000000"/>
          <w:sz w:val="44"/>
          <w:szCs w:val="44"/>
        </w:rPr>
      </w:pPr>
    </w:p>
    <w:p w:rsidR="008023CD" w:rsidRPr="00757F82" w:rsidRDefault="008023CD" w:rsidP="008023CD">
      <w:pPr>
        <w:snapToGrid w:val="0"/>
        <w:spacing w:line="600" w:lineRule="exact"/>
        <w:jc w:val="center"/>
        <w:rPr>
          <w:rFonts w:ascii="方正小标宋简体" w:eastAsia="方正小标宋简体" w:hAnsi="宋体" w:hint="eastAsia"/>
          <w:color w:val="000000"/>
          <w:sz w:val="36"/>
          <w:szCs w:val="36"/>
        </w:rPr>
      </w:pPr>
      <w:r w:rsidRPr="00757F82">
        <w:rPr>
          <w:rFonts w:ascii="方正小标宋简体" w:eastAsia="方正小标宋简体" w:hAnsi="宋体" w:hint="eastAsia"/>
          <w:color w:val="000000"/>
          <w:sz w:val="36"/>
          <w:szCs w:val="36"/>
        </w:rPr>
        <w:t>沟通交流申请资料</w:t>
      </w:r>
    </w:p>
    <w:p w:rsidR="008023CD" w:rsidRPr="00637EC2" w:rsidRDefault="008023CD" w:rsidP="008023CD">
      <w:pPr>
        <w:snapToGrid w:val="0"/>
        <w:spacing w:line="260" w:lineRule="exact"/>
        <w:jc w:val="center"/>
        <w:rPr>
          <w:rFonts w:ascii="方正小标宋简体" w:eastAsia="方正小标宋简体" w:hAnsi="仿宋"/>
          <w:color w:val="000000"/>
          <w:sz w:val="44"/>
          <w:szCs w:val="44"/>
        </w:rPr>
      </w:pP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一、企业沟通交流申请报告、参加沟通交流人员委托书（加盖企业公章）。</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二、变更内容情况（包括变更前后对比、自评估结论等）。</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三、支持变更管理类别评估结论的总结（包括但不限于以下内容）。</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1.产品特点概述;</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2.持有人内部变更分类原则、变更管理工作程序、变更风险管理标准;</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3.自评估情况;</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4.按照药品上市后变更有关指导原则要求开展的变更研究汇总数据和结果;</w:t>
      </w:r>
    </w:p>
    <w:p w:rsidR="008023CD" w:rsidRPr="00266AB2" w:rsidRDefault="008023CD" w:rsidP="008023CD">
      <w:pPr>
        <w:pStyle w:val="ListParagraph"/>
        <w:snapToGrid w:val="0"/>
        <w:spacing w:line="580" w:lineRule="exact"/>
        <w:ind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5.必要的验证情况。</w:t>
      </w:r>
    </w:p>
    <w:p w:rsidR="008023CD" w:rsidRPr="00266AB2" w:rsidRDefault="008023CD" w:rsidP="008023CD">
      <w:pPr>
        <w:snapToGrid w:val="0"/>
        <w:spacing w:line="580" w:lineRule="exact"/>
        <w:ind w:firstLineChars="200" w:firstLine="640"/>
        <w:rPr>
          <w:rFonts w:ascii="方正仿宋_GBK" w:eastAsia="方正仿宋_GBK" w:hAnsi="仿宋_GB2312" w:cs="仿宋_GB2312" w:hint="eastAsia"/>
          <w:color w:val="000000"/>
          <w:sz w:val="32"/>
          <w:szCs w:val="32"/>
        </w:rPr>
      </w:pPr>
      <w:r w:rsidRPr="00266AB2">
        <w:rPr>
          <w:rFonts w:ascii="方正仿宋_GBK" w:eastAsia="方正仿宋_GBK" w:hAnsi="仿宋_GB2312" w:cs="仿宋_GB2312" w:hint="eastAsia"/>
          <w:color w:val="000000"/>
          <w:sz w:val="32"/>
          <w:szCs w:val="32"/>
        </w:rPr>
        <w:t>四、持有人和药品生产企业《药品生产许可证》、药品批准证明性文件、药品质量标准复印件、历次变更证明文件等。</w:t>
      </w:r>
    </w:p>
    <w:p w:rsidR="008F7C86" w:rsidRDefault="008023CD" w:rsidP="008023CD">
      <w:r>
        <w:rPr>
          <w:rFonts w:ascii="仿宋_GB2312" w:eastAsia="仿宋_GB2312" w:hint="eastAsia"/>
          <w:color w:val="000000"/>
          <w:sz w:val="32"/>
          <w:szCs w:val="32"/>
        </w:rPr>
        <w:br w:type="page"/>
      </w:r>
      <w:bookmarkStart w:id="0" w:name="_GoBack"/>
      <w:bookmarkEnd w:id="0"/>
    </w:p>
    <w:sectPr w:rsidR="008F7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0CD" w:rsidRDefault="002B20CD" w:rsidP="008023CD">
      <w:r>
        <w:separator/>
      </w:r>
    </w:p>
  </w:endnote>
  <w:endnote w:type="continuationSeparator" w:id="0">
    <w:p w:rsidR="002B20CD" w:rsidRDefault="002B20CD" w:rsidP="0080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0CD" w:rsidRDefault="002B20CD" w:rsidP="008023CD">
      <w:r>
        <w:separator/>
      </w:r>
    </w:p>
  </w:footnote>
  <w:footnote w:type="continuationSeparator" w:id="0">
    <w:p w:rsidR="002B20CD" w:rsidRDefault="002B20CD" w:rsidP="0080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BD"/>
    <w:rsid w:val="002B20CD"/>
    <w:rsid w:val="008023CD"/>
    <w:rsid w:val="008F7C86"/>
    <w:rsid w:val="00BC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289CBE-094B-4844-BB04-32A8E7A5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3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3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23CD"/>
    <w:rPr>
      <w:sz w:val="18"/>
      <w:szCs w:val="18"/>
    </w:rPr>
  </w:style>
  <w:style w:type="paragraph" w:styleId="a5">
    <w:name w:val="footer"/>
    <w:basedOn w:val="a"/>
    <w:link w:val="a6"/>
    <w:uiPriority w:val="99"/>
    <w:unhideWhenUsed/>
    <w:rsid w:val="008023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23CD"/>
    <w:rPr>
      <w:sz w:val="18"/>
      <w:szCs w:val="18"/>
    </w:rPr>
  </w:style>
  <w:style w:type="paragraph" w:customStyle="1" w:styleId="ListParagraph">
    <w:name w:val="List Paragraph"/>
    <w:basedOn w:val="a"/>
    <w:qFormat/>
    <w:rsid w:val="008023CD"/>
    <w:pPr>
      <w:ind w:firstLineChars="200" w:firstLine="420"/>
    </w:pPr>
    <w:rPr>
      <w:rFonts w:ascii="Calibri"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2021-07-19T02:24:00Z</dcterms:created>
  <dcterms:modified xsi:type="dcterms:W3CDTF">2021-07-19T02:24:00Z</dcterms:modified>
</cp:coreProperties>
</file>