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湖北</w:t>
      </w:r>
      <w:r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省药品监督管理局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药品G</w:t>
      </w:r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S</w:t>
      </w:r>
      <w:r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P符合性检查结果公告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Style w:val="5"/>
          <w:rFonts w:hint="eastAsia" w:ascii="楷体" w:hAnsi="楷体" w:eastAsia="楷体" w:cs="楷体"/>
          <w:b w:val="0"/>
          <w:color w:val="191919"/>
          <w:sz w:val="30"/>
          <w:szCs w:val="30"/>
          <w:shd w:val="clear" w:color="auto" w:fill="FFFFFF"/>
        </w:rPr>
      </w:pPr>
      <w:r>
        <w:rPr>
          <w:rStyle w:val="5"/>
          <w:rFonts w:hint="eastAsia" w:ascii="楷体" w:hAnsi="楷体" w:eastAsia="楷体" w:cs="楷体"/>
          <w:b w:val="0"/>
          <w:color w:val="191919"/>
          <w:sz w:val="30"/>
          <w:szCs w:val="30"/>
          <w:shd w:val="clear" w:color="auto" w:fill="FFFFFF"/>
        </w:rPr>
        <w:t>（**年第**号）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根据《药品管理法》《药品经营和使用监督管理办法》等有关规定，经药品GSP符合性检查和综合评定，*****公司等**家企业有关检查结果如下，特此公告。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480" w:firstLineChars="1400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湖北省药品监督管理局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5760" w:firstLineChars="18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**年**月**日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5760" w:firstLineChars="1800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br w:type="page"/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方正小标宋简体" w:cs="仿宋"/>
          <w:color w:val="191919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药品经营质量管理规范</w:t>
      </w:r>
      <w:r>
        <w:rPr>
          <w:rFonts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符合性检查</w:t>
      </w:r>
      <w:r>
        <w:rPr>
          <w:rFonts w:hint="eastAsia" w:ascii="方正小标宋简体" w:hAnsi="方正小标宋简体" w:eastAsia="方正小标宋简体" w:cs="方正小标宋简体"/>
          <w:color w:val="191919"/>
          <w:spacing w:val="-6"/>
          <w:sz w:val="36"/>
          <w:szCs w:val="36"/>
          <w:shd w:val="clear" w:color="auto" w:fill="FFFFFF"/>
        </w:rPr>
        <w:t>信息（**年第**号）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17"/>
        <w:gridCol w:w="1433"/>
        <w:gridCol w:w="1500"/>
        <w:gridCol w:w="1424"/>
        <w:gridCol w:w="127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Cs w:val="24"/>
                <w:shd w:val="clear" w:color="auto" w:fill="FFFFFF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191919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Cs w:val="24"/>
                <w:shd w:val="clear" w:color="auto" w:fill="FFFFFF"/>
              </w:rPr>
              <w:t>注册地址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Cs w:val="24"/>
                <w:shd w:val="clear" w:color="auto" w:fill="FFFFFF"/>
              </w:rPr>
              <w:t>仓库地址/经营场地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Cs w:val="24"/>
                <w:shd w:val="clear" w:color="auto" w:fill="FFFFFF"/>
              </w:rPr>
              <w:t>经营范围/经营活动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191919"/>
                <w:szCs w:val="24"/>
                <w:shd w:val="clear" w:color="auto" w:fill="FFFFFF"/>
              </w:rPr>
              <w:t>检查日期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191919"/>
                <w:szCs w:val="24"/>
                <w:shd w:val="clear" w:color="auto" w:fill="FFFFFF"/>
              </w:rPr>
              <w:t>检查结论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2022-01-07T08:31:36Z</dcterms:created>
  <dc:creator>Administrator</dc:creator>
  <cp:lastModifiedBy>Administrator</cp:lastModifiedBy>
  <dcterms:modified xsi:type="dcterms:W3CDTF">2022-01-07T08:31:44Z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5A4927D9778A428A980CB7905CEEB562</vt:lpwstr>
  </property>
</Properties>
</file>