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80" w:lineRule="exact"/>
        <w:ind w:left="0" w:leftChars="0" w:firstLine="0" w:firstLineChars="0"/>
        <w:jc w:val="both"/>
        <w:textAlignment w:val="auto"/>
        <w:outlineLvl w:val="9"/>
        <w:rPr>
          <w:rFonts w:hint="eastAsia" w:ascii="方正黑体_GBK" w:hAnsi="方正黑体_GBK" w:eastAsia="方正黑体_GBK" w:cs="方正黑体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eastAsia="zh-CN"/>
        </w:rPr>
        <w:t>附件</w:t>
      </w:r>
      <w:r>
        <w:rPr>
          <w:rFonts w:hint="eastAsia" w:ascii="方正黑体_GBK" w:hAnsi="方正黑体_GBK" w:eastAsia="方正黑体_GBK" w:cs="方正黑体_GBK"/>
          <w:b w:val="0"/>
          <w:bCs w:val="0"/>
          <w:color w:val="auto"/>
          <w:sz w:val="32"/>
          <w:szCs w:val="32"/>
          <w:lang w:val="en-US" w:eastAsia="zh-CN"/>
        </w:rPr>
        <w:t>5</w:t>
      </w:r>
    </w:p>
    <w:p>
      <w:pPr>
        <w:pStyle w:val="2"/>
        <w:rPr>
          <w:rFonts w:hint="eastAsia"/>
          <w:lang w:val="en-US" w:eastAsia="zh-CN"/>
        </w:rPr>
      </w:pPr>
    </w:p>
    <w:p>
      <w:pPr>
        <w:keepNext w:val="0"/>
        <w:keepLines w:val="0"/>
        <w:pageBreakBefore w:val="0"/>
        <w:kinsoku/>
        <w:wordWrap/>
        <w:overflowPunct/>
        <w:topLinePunct w:val="0"/>
        <w:autoSpaceDE/>
        <w:autoSpaceDN/>
        <w:bidi w:val="0"/>
        <w:adjustRightInd/>
        <w:snapToGrid/>
        <w:spacing w:line="580" w:lineRule="exact"/>
        <w:ind w:left="0" w:leftChars="0" w:firstLine="0" w:firstLineChars="0"/>
        <w:jc w:val="center"/>
        <w:textAlignment w:val="auto"/>
        <w:outlineLvl w:val="9"/>
        <w:rPr>
          <w:rFonts w:hint="eastAsia" w:ascii="方正小标宋_GBK" w:hAnsi="方正小标宋_GBK" w:eastAsia="方正小标宋_GBK" w:cs="方正小标宋_GBK"/>
          <w:b w:val="0"/>
          <w:bCs w:val="0"/>
          <w:color w:val="auto"/>
          <w:spacing w:val="-6"/>
          <w:sz w:val="36"/>
          <w:szCs w:val="36"/>
          <w:lang w:val="en-US" w:eastAsia="zh-CN"/>
        </w:rPr>
      </w:pPr>
      <w:bookmarkStart w:id="0" w:name="_GoBack"/>
      <w:r>
        <w:rPr>
          <w:rFonts w:hint="eastAsia" w:ascii="方正小标宋_GBK" w:hAnsi="方正小标宋_GBK" w:eastAsia="方正小标宋_GBK" w:cs="方正小标宋_GBK"/>
          <w:b w:val="0"/>
          <w:bCs w:val="0"/>
          <w:color w:val="auto"/>
          <w:spacing w:val="-6"/>
          <w:sz w:val="36"/>
          <w:szCs w:val="36"/>
          <w:lang w:val="en-US" w:eastAsia="zh-CN"/>
        </w:rPr>
        <w:t>湖北省药品经营企业兼并重组行政许可办事指南（试行）</w:t>
      </w:r>
    </w:p>
    <w:bookmarkEnd w:id="0"/>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autoSpaceDE/>
        <w:autoSpaceDN/>
        <w:bidi w:val="0"/>
        <w:spacing w:before="0" w:beforeAutospacing="0" w:after="0" w:afterAutospacing="0" w:line="580" w:lineRule="exact"/>
        <w:ind w:right="0"/>
        <w:jc w:val="center"/>
        <w:textAlignment w:val="auto"/>
        <w:rPr>
          <w:rFonts w:hint="eastAsia" w:ascii="楷体" w:hAnsi="楷体" w:eastAsia="楷体" w:cs="楷体"/>
          <w:b w:val="0"/>
          <w:bCs w:val="0"/>
          <w:i w:val="0"/>
          <w:iCs w:val="0"/>
          <w:caps w:val="0"/>
          <w:color w:val="auto"/>
          <w:spacing w:val="0"/>
          <w:sz w:val="32"/>
          <w:szCs w:val="32"/>
          <w:shd w:val="clear" w:color="auto" w:fill="FFFFFF"/>
          <w:lang w:eastAsia="zh-CN"/>
        </w:rPr>
      </w:pPr>
      <w:r>
        <w:rPr>
          <w:rFonts w:hint="eastAsia" w:ascii="楷体" w:hAnsi="楷体" w:eastAsia="楷体" w:cs="楷体"/>
          <w:b w:val="0"/>
          <w:bCs w:val="0"/>
          <w:i w:val="0"/>
          <w:iCs w:val="0"/>
          <w:caps w:val="0"/>
          <w:color w:val="auto"/>
          <w:spacing w:val="0"/>
          <w:sz w:val="32"/>
          <w:szCs w:val="32"/>
          <w:shd w:val="clear" w:color="auto" w:fill="FFFFFF"/>
          <w:lang w:eastAsia="zh-CN"/>
        </w:rPr>
        <w:t>（批发、零售连锁总部）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auto"/>
          <w:spacing w:val="0"/>
          <w:sz w:val="32"/>
          <w:szCs w:val="32"/>
          <w:shd w:val="clear" w:color="auto"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hint="eastAsia" w:ascii="方正黑体_GBK" w:hAnsi="方正黑体_GBK" w:eastAsia="方正黑体_GBK" w:cs="方正黑体_GBK"/>
          <w:b w:val="0"/>
          <w:bCs w:val="0"/>
          <w:i w:val="0"/>
          <w:iCs w:val="0"/>
          <w:caps w:val="0"/>
          <w:color w:val="auto"/>
          <w:spacing w:val="0"/>
          <w:sz w:val="32"/>
          <w:szCs w:val="32"/>
        </w:rPr>
      </w:pPr>
      <w:r>
        <w:rPr>
          <w:rFonts w:hint="eastAsia" w:ascii="方正黑体_GBK" w:hAnsi="方正黑体_GBK" w:eastAsia="方正黑体_GBK" w:cs="方正黑体_GBK"/>
          <w:b w:val="0"/>
          <w:bCs w:val="0"/>
          <w:i w:val="0"/>
          <w:iCs w:val="0"/>
          <w:caps w:val="0"/>
          <w:color w:val="auto"/>
          <w:spacing w:val="0"/>
          <w:sz w:val="32"/>
          <w:szCs w:val="32"/>
          <w:shd w:val="clear" w:color="auto" w:fill="FFFFFF"/>
          <w:lang w:eastAsia="zh-CN"/>
        </w:rPr>
        <w:t>一、</w:t>
      </w:r>
      <w:r>
        <w:rPr>
          <w:rFonts w:hint="eastAsia" w:ascii="方正黑体_GBK" w:hAnsi="方正黑体_GBK" w:eastAsia="方正黑体_GBK" w:cs="方正黑体_GBK"/>
          <w:b w:val="0"/>
          <w:bCs w:val="0"/>
          <w:i w:val="0"/>
          <w:iCs w:val="0"/>
          <w:caps w:val="0"/>
          <w:color w:val="auto"/>
          <w:spacing w:val="0"/>
          <w:sz w:val="32"/>
          <w:szCs w:val="32"/>
          <w:shd w:val="clear" w:color="auto" w:fill="FFFFFF"/>
          <w:lang w:val="en-US" w:eastAsia="zh-CN"/>
        </w:rPr>
        <w:t>制定</w:t>
      </w:r>
      <w:r>
        <w:rPr>
          <w:rFonts w:hint="eastAsia" w:ascii="方正黑体_GBK" w:hAnsi="方正黑体_GBK" w:eastAsia="方正黑体_GBK" w:cs="方正黑体_GBK"/>
          <w:b w:val="0"/>
          <w:bCs w:val="0"/>
          <w:i w:val="0"/>
          <w:iCs w:val="0"/>
          <w:caps w:val="0"/>
          <w:color w:val="auto"/>
          <w:spacing w:val="0"/>
          <w:sz w:val="32"/>
          <w:szCs w:val="32"/>
          <w:shd w:val="clear" w:color="auto" w:fill="FFFFFF"/>
        </w:rPr>
        <w:t>依据</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640" w:firstLineChars="200"/>
        <w:jc w:val="both"/>
        <w:textAlignment w:val="auto"/>
        <w:outlineLvl w:val="9"/>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pPr>
      <w:r>
        <w:rPr>
          <w:rFonts w:hint="eastAsia" w:ascii="方正仿宋_GBK" w:hAnsi="方正仿宋_GBK" w:eastAsia="方正仿宋_GBK" w:cs="方正仿宋_GBK"/>
          <w:i w:val="0"/>
          <w:iCs w:val="0"/>
          <w:caps w:val="0"/>
          <w:color w:val="auto"/>
          <w:spacing w:val="0"/>
          <w:sz w:val="32"/>
          <w:szCs w:val="32"/>
          <w:shd w:val="clear" w:color="auto" w:fill="FFFFFF"/>
          <w:lang w:eastAsia="zh-CN"/>
        </w:rPr>
        <w:t>根据</w:t>
      </w:r>
      <w:r>
        <w:rPr>
          <w:rFonts w:hint="eastAsia" w:ascii="方正仿宋_GBK" w:hAnsi="方正仿宋_GBK" w:eastAsia="方正仿宋_GBK" w:cs="方正仿宋_GBK"/>
          <w:i w:val="0"/>
          <w:iCs w:val="0"/>
          <w:caps w:val="0"/>
          <w:color w:val="auto"/>
          <w:spacing w:val="0"/>
          <w:sz w:val="32"/>
          <w:szCs w:val="32"/>
          <w:shd w:val="clear" w:color="auto" w:fill="FFFFFF"/>
        </w:rPr>
        <w:t>《中华人民共和国药品管理法》《中华人民共和国行政许可法》《中华人民共和国药品管理法实施条例》《药品经营许可证管理办法》《药品经营质量管理规范》</w:t>
      </w:r>
      <w:r>
        <w:rPr>
          <w:rFonts w:hint="eastAsia" w:ascii="方正仿宋_GBK" w:hAnsi="方正仿宋_GBK" w:eastAsia="方正仿宋_GBK" w:cs="方正仿宋_GBK"/>
          <w:i w:val="0"/>
          <w:iCs w:val="0"/>
          <w:caps w:val="0"/>
          <w:color w:val="auto"/>
          <w:spacing w:val="0"/>
          <w:sz w:val="32"/>
          <w:szCs w:val="32"/>
          <w:shd w:val="clear" w:color="auto" w:fill="FFFFFF"/>
          <w:lang w:eastAsia="zh-CN"/>
        </w:rPr>
        <w:t>《关于进一步规范药品经营许可</w:t>
      </w:r>
      <w: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t>监督</w:t>
      </w:r>
      <w:r>
        <w:rPr>
          <w:rFonts w:hint="eastAsia" w:ascii="方正仿宋_GBK" w:hAnsi="方正仿宋_GBK" w:eastAsia="方正仿宋_GBK" w:cs="方正仿宋_GBK"/>
          <w:i w:val="0"/>
          <w:iCs w:val="0"/>
          <w:caps w:val="0"/>
          <w:color w:val="auto"/>
          <w:spacing w:val="0"/>
          <w:sz w:val="32"/>
          <w:szCs w:val="32"/>
          <w:shd w:val="clear" w:color="auto" w:fill="FFFFFF"/>
          <w:lang w:eastAsia="zh-CN"/>
        </w:rPr>
        <w:t>管理有关事项的通告》</w:t>
      </w:r>
      <w:r>
        <w:rPr>
          <w:rFonts w:hint="eastAsia" w:ascii="方正仿宋_GBK" w:hAnsi="方正仿宋_GBK" w:eastAsia="方正仿宋_GBK" w:cs="方正仿宋_GBK"/>
          <w:i w:val="0"/>
          <w:iCs w:val="0"/>
          <w:caps w:val="0"/>
          <w:color w:val="auto"/>
          <w:spacing w:val="0"/>
          <w:sz w:val="32"/>
          <w:szCs w:val="32"/>
          <w:highlight w:val="none"/>
          <w:shd w:val="clear" w:color="auto" w:fill="FFFFFF"/>
          <w:lang w:val="en-US" w:eastAsia="zh-CN"/>
        </w:rPr>
        <w:t>等，</w:t>
      </w:r>
      <w:r>
        <w:rPr>
          <w:rFonts w:hint="eastAsia" w:ascii="方正仿宋_GBK" w:hAnsi="方正仿宋_GBK" w:eastAsia="方正仿宋_GBK" w:cs="方正仿宋_GBK"/>
          <w:b w:val="0"/>
          <w:bCs w:val="0"/>
          <w:color w:val="auto"/>
          <w:sz w:val="32"/>
          <w:szCs w:val="32"/>
          <w:lang w:val="en-US" w:eastAsia="zh-CN"/>
        </w:rPr>
        <w:t>制定本办事指南。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hint="eastAsia" w:ascii="方正黑体_GBK" w:hAnsi="方正黑体_GBK" w:eastAsia="方正黑体_GBK" w:cs="方正黑体_GBK"/>
          <w:b w:val="0"/>
          <w:bCs w:val="0"/>
          <w:i w:val="0"/>
          <w:iCs w:val="0"/>
          <w:caps w:val="0"/>
          <w:color w:val="auto"/>
          <w:spacing w:val="0"/>
          <w:sz w:val="32"/>
          <w:szCs w:val="32"/>
          <w:shd w:val="clear" w:color="auto" w:fill="FFFFFF"/>
          <w:lang w:val="en-US" w:eastAsia="zh-CN"/>
        </w:rPr>
      </w:pPr>
      <w:r>
        <w:rPr>
          <w:rFonts w:hint="eastAsia" w:ascii="方正黑体_GBK" w:hAnsi="方正黑体_GBK" w:eastAsia="方正黑体_GBK" w:cs="方正黑体_GBK"/>
          <w:b w:val="0"/>
          <w:bCs w:val="0"/>
          <w:i w:val="0"/>
          <w:iCs w:val="0"/>
          <w:caps w:val="0"/>
          <w:color w:val="auto"/>
          <w:spacing w:val="0"/>
          <w:sz w:val="32"/>
          <w:szCs w:val="32"/>
          <w:shd w:val="clear" w:color="auto" w:fill="FFFFFF"/>
          <w:lang w:val="en-US" w:eastAsia="zh-CN"/>
        </w:rPr>
        <w:t>二、兼并方式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auto"/>
          <w:spacing w:val="0"/>
          <w:kern w:val="2"/>
          <w:sz w:val="32"/>
          <w:szCs w:val="32"/>
          <w:shd w:val="clear" w:color="auto" w:fill="FFFFFF"/>
          <w:lang w:val="en-US" w:eastAsia="zh-CN" w:bidi="ar-SA"/>
        </w:rPr>
      </w:pPr>
      <w:r>
        <w:rPr>
          <w:rFonts w:hint="eastAsia" w:ascii="方正仿宋_GBK" w:hAnsi="方正仿宋_GBK" w:eastAsia="方正仿宋_GBK" w:cs="方正仿宋_GBK"/>
          <w:i w:val="0"/>
          <w:iCs w:val="0"/>
          <w:caps w:val="0"/>
          <w:color w:val="auto"/>
          <w:spacing w:val="0"/>
          <w:kern w:val="2"/>
          <w:sz w:val="32"/>
          <w:szCs w:val="32"/>
          <w:shd w:val="clear" w:color="auto" w:fill="FFFFFF"/>
          <w:lang w:val="en-US" w:eastAsia="zh-CN" w:bidi="ar-SA"/>
        </w:rPr>
        <w:t>兼并方和被兼并方按照《中华人民共和国市场主体登记管理条例》（国务院令第746号）、国家市场监督管理局《中华人民共和国市场主体登记管理条例实施细则》（总局令第52号）取得或续存市场主体后，以控股式、合并（分立）形式进行兼并重组，申请设立、变更、注销《药品经营许可证》。</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i w:val="0"/>
          <w:iCs w:val="0"/>
          <w:caps w:val="0"/>
          <w:color w:val="auto"/>
          <w:spacing w:val="0"/>
          <w:kern w:val="2"/>
          <w:sz w:val="32"/>
          <w:szCs w:val="32"/>
          <w:shd w:val="clear" w:color="auto" w:fill="FFFFFF"/>
          <w:lang w:val="en-US" w:eastAsia="zh-CN" w:bidi="ar-SA"/>
        </w:rPr>
      </w:pPr>
      <w:r>
        <w:rPr>
          <w:rFonts w:hint="eastAsia" w:ascii="方正楷体_GBK" w:hAnsi="方正楷体_GBK" w:eastAsia="方正楷体_GBK" w:cs="方正楷体_GBK"/>
          <w:i w:val="0"/>
          <w:iCs w:val="0"/>
          <w:caps w:val="0"/>
          <w:color w:val="auto"/>
          <w:spacing w:val="0"/>
          <w:kern w:val="2"/>
          <w:sz w:val="32"/>
          <w:szCs w:val="32"/>
          <w:shd w:val="clear" w:color="auto" w:fill="FFFFFF"/>
          <w:lang w:val="en-US" w:eastAsia="zh-CN" w:bidi="ar-SA"/>
        </w:rPr>
        <w:t>（一）控股式兼并：</w:t>
      </w:r>
      <w:r>
        <w:rPr>
          <w:rFonts w:hint="eastAsia" w:ascii="方正仿宋_GBK" w:hAnsi="方正仿宋_GBK" w:eastAsia="方正仿宋_GBK" w:cs="方正仿宋_GBK"/>
          <w:i w:val="0"/>
          <w:iCs w:val="0"/>
          <w:caps w:val="0"/>
          <w:color w:val="auto"/>
          <w:spacing w:val="0"/>
          <w:kern w:val="2"/>
          <w:sz w:val="32"/>
          <w:szCs w:val="32"/>
          <w:shd w:val="clear" w:color="auto" w:fill="FFFFFF"/>
          <w:lang w:val="en-US" w:eastAsia="zh-CN" w:bidi="ar-SA"/>
        </w:rPr>
        <w:t>兼并方通过出资、入股收购或资产转换等方式，取得被兼并企业的控股权，包括承担相关债权债务，将控股方作为市场持证主体，并变更《药品经营许可证》登记事项、相关许可事项。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i w:val="0"/>
          <w:iCs w:val="0"/>
          <w:caps w:val="0"/>
          <w:color w:val="auto"/>
          <w:spacing w:val="0"/>
          <w:kern w:val="2"/>
          <w:sz w:val="32"/>
          <w:szCs w:val="32"/>
          <w:shd w:val="clear" w:color="auto" w:fill="FFFFFF"/>
          <w:lang w:val="en-US" w:eastAsia="zh-CN" w:bidi="ar-SA"/>
        </w:rPr>
      </w:pPr>
      <w:r>
        <w:rPr>
          <w:rFonts w:hint="eastAsia" w:ascii="方正楷体_GBK" w:hAnsi="方正楷体_GBK" w:eastAsia="方正楷体_GBK" w:cs="方正楷体_GBK"/>
          <w:i w:val="0"/>
          <w:iCs w:val="0"/>
          <w:caps w:val="0"/>
          <w:color w:val="auto"/>
          <w:spacing w:val="0"/>
          <w:kern w:val="2"/>
          <w:sz w:val="32"/>
          <w:szCs w:val="32"/>
          <w:shd w:val="clear" w:color="auto" w:fill="FFFFFF"/>
          <w:lang w:val="en-US" w:eastAsia="zh-CN" w:bidi="ar-SA"/>
        </w:rPr>
        <w:t>（二）合并（分立）式兼并：</w:t>
      </w:r>
      <w:r>
        <w:rPr>
          <w:rFonts w:hint="eastAsia" w:ascii="方正仿宋_GBK" w:hAnsi="方正仿宋_GBK" w:eastAsia="方正仿宋_GBK" w:cs="方正仿宋_GBK"/>
          <w:i w:val="0"/>
          <w:iCs w:val="0"/>
          <w:caps w:val="0"/>
          <w:color w:val="auto"/>
          <w:spacing w:val="0"/>
          <w:kern w:val="2"/>
          <w:sz w:val="32"/>
          <w:szCs w:val="32"/>
          <w:shd w:val="clear" w:color="auto" w:fill="FFFFFF"/>
          <w:lang w:val="en-US" w:eastAsia="zh-CN" w:bidi="ar-SA"/>
        </w:rPr>
        <w:t>兼并方和被兼并方均为独立市场主体，通过签订协议（包括相关债权债务约定）实现兼并重组，将兼并方作为市场持证主体，合并(分立)新设的市场主体申请相关许可事项。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pPr>
      <w:r>
        <w:rPr>
          <w:rFonts w:hint="eastAsia" w:ascii="方正仿宋_GBK" w:hAnsi="方正仿宋_GBK" w:eastAsia="方正仿宋_GBK" w:cs="方正仿宋_GBK"/>
          <w:i w:val="0"/>
          <w:iCs w:val="0"/>
          <w:caps w:val="0"/>
          <w:color w:val="auto"/>
          <w:spacing w:val="0"/>
          <w:kern w:val="2"/>
          <w:sz w:val="32"/>
          <w:szCs w:val="32"/>
          <w:shd w:val="clear" w:color="auto" w:fill="FFFFFF"/>
          <w:lang w:val="en-US" w:eastAsia="zh-CN" w:bidi="ar-SA"/>
        </w:rPr>
        <w:t>兼并重组过程中，如关联住所、注册地址、仓库地址、经营范围等事项变更，同时申请相关变更事项，一并进行变更许可检查。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hint="eastAsia" w:ascii="方正黑体_GBK" w:hAnsi="方正黑体_GBK" w:eastAsia="方正黑体_GBK" w:cs="方正黑体_GBK"/>
          <w:b w:val="0"/>
          <w:bCs w:val="0"/>
          <w:i w:val="0"/>
          <w:iCs w:val="0"/>
          <w:caps w:val="0"/>
          <w:color w:val="auto"/>
          <w:spacing w:val="0"/>
          <w:sz w:val="32"/>
          <w:szCs w:val="32"/>
          <w:shd w:val="clear" w:color="auto" w:fill="FFFFFF"/>
          <w:lang w:eastAsia="zh-CN"/>
        </w:rPr>
      </w:pPr>
      <w:r>
        <w:rPr>
          <w:rFonts w:hint="eastAsia" w:ascii="方正黑体_GBK" w:hAnsi="方正黑体_GBK" w:eastAsia="方正黑体_GBK" w:cs="方正黑体_GBK"/>
          <w:b w:val="0"/>
          <w:bCs w:val="0"/>
          <w:i w:val="0"/>
          <w:iCs w:val="0"/>
          <w:caps w:val="0"/>
          <w:color w:val="auto"/>
          <w:spacing w:val="0"/>
          <w:sz w:val="32"/>
          <w:szCs w:val="32"/>
          <w:shd w:val="clear" w:color="auto" w:fill="FFFFFF"/>
          <w:lang w:val="en-US" w:eastAsia="zh-CN"/>
        </w:rPr>
        <w:t>三、</w:t>
      </w:r>
      <w:r>
        <w:rPr>
          <w:rFonts w:hint="eastAsia" w:ascii="方正黑体_GBK" w:hAnsi="方正黑体_GBK" w:eastAsia="方正黑体_GBK" w:cs="方正黑体_GBK"/>
          <w:b w:val="0"/>
          <w:bCs w:val="0"/>
          <w:i w:val="0"/>
          <w:iCs w:val="0"/>
          <w:caps w:val="0"/>
          <w:color w:val="auto"/>
          <w:spacing w:val="0"/>
          <w:sz w:val="32"/>
          <w:szCs w:val="32"/>
          <w:shd w:val="clear" w:color="auto" w:fill="FFFFFF"/>
          <w:lang w:eastAsia="zh-CN"/>
        </w:rPr>
        <w:t>申报材料</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方正楷体_GBK" w:hAnsi="方正楷体_GBK" w:eastAsia="方正楷体_GBK" w:cs="方正楷体_GBK"/>
          <w:i w:val="0"/>
          <w:iCs w:val="0"/>
          <w:caps w:val="0"/>
          <w:color w:val="auto"/>
          <w:spacing w:val="0"/>
          <w:sz w:val="32"/>
          <w:szCs w:val="32"/>
          <w:shd w:val="clear" w:color="auto" w:fill="FFFFFF"/>
          <w:lang w:val="en-US" w:eastAsia="zh-CN"/>
        </w:rPr>
      </w:pPr>
      <w:r>
        <w:rPr>
          <w:rFonts w:hint="eastAsia" w:ascii="方正楷体_GBK" w:hAnsi="方正楷体_GBK" w:eastAsia="方正楷体_GBK" w:cs="方正楷体_GBK"/>
          <w:i w:val="0"/>
          <w:iCs w:val="0"/>
          <w:caps w:val="0"/>
          <w:color w:val="auto"/>
          <w:spacing w:val="0"/>
          <w:sz w:val="32"/>
          <w:szCs w:val="32"/>
          <w:shd w:val="clear" w:color="auto" w:fill="FFFFFF"/>
          <w:lang w:val="en-US" w:eastAsia="zh-CN"/>
        </w:rPr>
        <w:t>（一）采取“注销老证、核发新证”方式申请许可事项</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outlineLvl w:val="9"/>
        <w:rPr>
          <w:rFonts w:hint="eastAsia" w:ascii="方正仿宋_GBK" w:hAnsi="方正仿宋_GBK" w:eastAsia="方正仿宋_GBK" w:cs="方正仿宋_GBK"/>
          <w:i w:val="0"/>
          <w:iCs w:val="0"/>
          <w:caps w:val="0"/>
          <w:color w:val="auto"/>
          <w:spacing w:val="0"/>
          <w:kern w:val="0"/>
          <w:sz w:val="32"/>
          <w:szCs w:val="32"/>
          <w:shd w:val="clear" w:color="auto" w:fill="FFFFFF"/>
          <w:lang w:val="en-US" w:eastAsia="zh-CN" w:bidi="ar"/>
        </w:rPr>
      </w:pPr>
      <w:r>
        <w:rPr>
          <w:rFonts w:hint="eastAsia" w:ascii="方正仿宋_GBK" w:hAnsi="方正仿宋_GBK" w:eastAsia="方正仿宋_GBK" w:cs="方正仿宋_GBK"/>
          <w:i w:val="0"/>
          <w:iCs w:val="0"/>
          <w:caps w:val="0"/>
          <w:color w:val="auto"/>
          <w:spacing w:val="0"/>
          <w:kern w:val="0"/>
          <w:sz w:val="32"/>
          <w:szCs w:val="32"/>
          <w:shd w:val="clear" w:color="auto" w:fill="FFFFFF"/>
          <w:lang w:val="en-US" w:eastAsia="zh-CN" w:bidi="ar"/>
        </w:rPr>
        <w:t>除按照湖北省政务服务网“《药品经营许可证》核发事项办事指南”所要求的提交的资料外，还需一次性申请提交以下资料：</w:t>
      </w:r>
    </w:p>
    <w:p>
      <w:pPr>
        <w:pStyle w:val="4"/>
        <w:ind w:left="0" w:leftChars="0" w:firstLine="600" w:firstLineChars="200"/>
        <w:rPr>
          <w:rFonts w:hint="eastAsia" w:ascii="Times New Roman" w:hAnsi="Times New Roman" w:eastAsia="方正仿宋_GBK" w:cs="方正仿宋_GBK"/>
          <w:color w:val="auto"/>
          <w:kern w:val="2"/>
          <w:sz w:val="30"/>
          <w:szCs w:val="30"/>
          <w:lang w:val="en-US" w:eastAsia="zh-CN" w:bidi="ar-SA"/>
        </w:rPr>
      </w:pPr>
      <w:r>
        <w:rPr>
          <w:rFonts w:hint="eastAsia" w:ascii="Times New Roman" w:hAnsi="Times New Roman" w:eastAsia="方正仿宋_GBK" w:cs="方正仿宋_GBK"/>
          <w:color w:val="auto"/>
          <w:kern w:val="2"/>
          <w:sz w:val="30"/>
          <w:szCs w:val="30"/>
          <w:lang w:val="en-US" w:eastAsia="zh-CN" w:bidi="ar-SA"/>
        </w:rPr>
        <w:t>1.兼并重组协议（必须载明兼并双方企业名称、兼并方式、重组前债权债务承担方式、药品经营业务归属、药品经营设施设备和库存药品等物权归属等内容）</w:t>
      </w:r>
    </w:p>
    <w:p>
      <w:pPr>
        <w:pStyle w:val="4"/>
        <w:ind w:left="0" w:leftChars="0" w:firstLine="600" w:firstLineChars="200"/>
        <w:rPr>
          <w:rFonts w:hint="eastAsia" w:ascii="Times New Roman" w:hAnsi="Times New Roman" w:eastAsia="方正仿宋_GBK" w:cs="方正仿宋_GBK"/>
          <w:color w:val="auto"/>
          <w:kern w:val="2"/>
          <w:sz w:val="30"/>
          <w:szCs w:val="30"/>
          <w:lang w:val="en-US" w:eastAsia="zh-CN" w:bidi="ar-SA"/>
        </w:rPr>
      </w:pPr>
      <w:r>
        <w:rPr>
          <w:rFonts w:hint="eastAsia" w:ascii="Times New Roman" w:hAnsi="Times New Roman" w:eastAsia="方正仿宋_GBK" w:cs="方正仿宋_GBK"/>
          <w:color w:val="auto"/>
          <w:kern w:val="2"/>
          <w:sz w:val="30"/>
          <w:szCs w:val="30"/>
          <w:lang w:val="en-US" w:eastAsia="zh-CN" w:bidi="ar-SA"/>
        </w:rPr>
        <w:t>2.兼并双方的资质及有关证照（原件）（</w:t>
      </w:r>
      <w:r>
        <w:rPr>
          <w:rFonts w:hint="eastAsia" w:ascii="方正仿宋_GBK" w:hAnsi="方正仿宋_GBK" w:eastAsia="方正仿宋_GBK" w:cs="方正仿宋_GBK"/>
          <w:color w:val="auto"/>
          <w:kern w:val="2"/>
          <w:sz w:val="30"/>
          <w:szCs w:val="30"/>
          <w:lang w:val="en-US" w:eastAsia="zh-CN" w:bidi="ar-SA"/>
        </w:rPr>
        <w:t>①兼并方营业执照及药品生产许可证或药品经营许可证或上市持有人证明文件或非药品企业的有关备案文件或报告证明文件</w:t>
      </w:r>
      <w:r>
        <w:rPr>
          <w:rFonts w:hint="eastAsia" w:ascii="Times New Roman" w:hAnsi="Times New Roman" w:eastAsia="方正仿宋_GBK" w:cs="方正仿宋_GBK"/>
          <w:color w:val="auto"/>
          <w:kern w:val="2"/>
          <w:sz w:val="30"/>
          <w:szCs w:val="30"/>
          <w:lang w:val="en-US" w:eastAsia="zh-CN" w:bidi="ar-SA"/>
        </w:rPr>
        <w:t>；</w:t>
      </w:r>
      <w:r>
        <w:rPr>
          <w:rFonts w:hint="eastAsia" w:ascii="方正仿宋_GBK" w:hAnsi="方正仿宋_GBK" w:eastAsia="方正仿宋_GBK" w:cs="方正仿宋_GBK"/>
          <w:color w:val="auto"/>
          <w:kern w:val="2"/>
          <w:sz w:val="30"/>
          <w:szCs w:val="30"/>
          <w:lang w:val="en-US" w:eastAsia="zh-CN" w:bidi="ar-SA"/>
        </w:rPr>
        <w:t>②</w:t>
      </w:r>
      <w:r>
        <w:rPr>
          <w:rFonts w:hint="eastAsia" w:ascii="Times New Roman" w:hAnsi="Times New Roman" w:eastAsia="方正仿宋_GBK" w:cs="方正仿宋_GBK"/>
          <w:color w:val="auto"/>
          <w:kern w:val="2"/>
          <w:sz w:val="30"/>
          <w:szCs w:val="30"/>
          <w:lang w:val="en-US" w:eastAsia="zh-CN" w:bidi="ar-SA"/>
        </w:rPr>
        <w:t>被兼并方《营业执照》、《药品经营许可证》正、副本及变更页）</w:t>
      </w:r>
    </w:p>
    <w:p>
      <w:pPr>
        <w:pStyle w:val="4"/>
        <w:ind w:left="0" w:leftChars="0" w:firstLine="600" w:firstLineChars="200"/>
        <w:rPr>
          <w:rFonts w:hint="eastAsia" w:ascii="Times New Roman" w:hAnsi="Times New Roman" w:eastAsia="方正仿宋_GBK" w:cs="方正仿宋_GBK"/>
          <w:color w:val="auto"/>
          <w:kern w:val="2"/>
          <w:sz w:val="30"/>
          <w:szCs w:val="30"/>
          <w:lang w:val="en-US" w:eastAsia="zh-CN" w:bidi="ar-SA"/>
        </w:rPr>
      </w:pPr>
      <w:r>
        <w:rPr>
          <w:rFonts w:hint="eastAsia" w:ascii="Times New Roman" w:hAnsi="Times New Roman" w:eastAsia="方正仿宋_GBK" w:cs="方正仿宋_GBK"/>
          <w:color w:val="auto"/>
          <w:kern w:val="2"/>
          <w:sz w:val="30"/>
          <w:szCs w:val="30"/>
          <w:lang w:val="en-US" w:eastAsia="zh-CN" w:bidi="ar-SA"/>
        </w:rPr>
        <w:t>3.兼并双方的股东会决议（兼并双方企业股东会同意兼并的决议，须所有股东签字盖章有效；兼并方为集团公司控股的子公司还需出具集团公司的批复）</w:t>
      </w:r>
    </w:p>
    <w:p>
      <w:pPr>
        <w:pStyle w:val="4"/>
        <w:ind w:left="0" w:leftChars="0" w:firstLine="600" w:firstLineChars="200"/>
        <w:rPr>
          <w:rFonts w:hint="eastAsia" w:ascii="Times New Roman" w:hAnsi="Times New Roman" w:eastAsia="方正仿宋_GBK" w:cs="方正仿宋_GBK"/>
          <w:color w:val="auto"/>
          <w:kern w:val="2"/>
          <w:sz w:val="30"/>
          <w:szCs w:val="30"/>
          <w:lang w:val="en-US" w:eastAsia="zh-CN" w:bidi="ar-SA"/>
        </w:rPr>
      </w:pPr>
      <w:r>
        <w:rPr>
          <w:rFonts w:hint="eastAsia" w:ascii="Times New Roman" w:hAnsi="Times New Roman" w:eastAsia="方正仿宋_GBK" w:cs="方正仿宋_GBK"/>
          <w:color w:val="auto"/>
          <w:kern w:val="2"/>
          <w:sz w:val="30"/>
          <w:szCs w:val="30"/>
          <w:lang w:val="en-US" w:eastAsia="zh-CN" w:bidi="ar-SA"/>
        </w:rPr>
        <w:t>4.新设公司企业信息咨询报告（双方的股权结构及出资比例）</w:t>
      </w:r>
    </w:p>
    <w:p>
      <w:pPr>
        <w:pStyle w:val="4"/>
        <w:ind w:left="0" w:leftChars="0" w:firstLine="600" w:firstLineChars="200"/>
        <w:rPr>
          <w:rFonts w:hint="eastAsia" w:ascii="Times New Roman" w:hAnsi="Times New Roman" w:eastAsia="方正仿宋_GBK" w:cs="方正仿宋_GBK"/>
          <w:color w:val="auto"/>
          <w:kern w:val="2"/>
          <w:sz w:val="30"/>
          <w:szCs w:val="30"/>
          <w:lang w:val="en-US" w:eastAsia="zh-CN" w:bidi="ar-SA"/>
        </w:rPr>
      </w:pPr>
      <w:r>
        <w:rPr>
          <w:rFonts w:hint="eastAsia" w:ascii="Times New Roman" w:hAnsi="Times New Roman" w:eastAsia="方正仿宋_GBK" w:cs="方正仿宋_GBK"/>
          <w:color w:val="auto"/>
          <w:kern w:val="2"/>
          <w:sz w:val="30"/>
          <w:szCs w:val="30"/>
          <w:lang w:val="en-US" w:eastAsia="zh-CN" w:bidi="ar-SA"/>
        </w:rPr>
        <w:t>5.兼并双方企业信用信息年度报告（须提供上一年度的，包含对外公示和不对外公示信息。法人须签字盖章有效）</w:t>
      </w:r>
    </w:p>
    <w:p>
      <w:pPr>
        <w:pStyle w:val="4"/>
        <w:ind w:left="0" w:leftChars="0" w:firstLine="600" w:firstLineChars="200"/>
        <w:rPr>
          <w:rFonts w:hint="eastAsia" w:ascii="方正仿宋_GBK" w:hAnsi="方正仿宋_GBK" w:eastAsia="方正仿宋_GBK" w:cs="方正仿宋_GBK"/>
          <w:i w:val="0"/>
          <w:iCs w:val="0"/>
          <w:caps w:val="0"/>
          <w:color w:val="auto"/>
          <w:spacing w:val="0"/>
          <w:kern w:val="0"/>
          <w:sz w:val="32"/>
          <w:szCs w:val="32"/>
          <w:shd w:val="clear" w:color="auto" w:fill="FFFFFF"/>
          <w:lang w:val="en-US" w:eastAsia="zh-CN" w:bidi="ar"/>
        </w:rPr>
      </w:pPr>
      <w:r>
        <w:rPr>
          <w:rFonts w:hint="eastAsia" w:ascii="Times New Roman" w:hAnsi="Times New Roman" w:eastAsia="方正仿宋_GBK" w:cs="方正仿宋_GBK"/>
          <w:color w:val="auto"/>
          <w:kern w:val="2"/>
          <w:sz w:val="30"/>
          <w:szCs w:val="30"/>
          <w:lang w:val="en-US" w:eastAsia="zh-CN" w:bidi="ar-SA"/>
        </w:rPr>
        <w:t>6.企业兼并重组承诺书（承诺双方自愿兼并；且无</w:t>
      </w:r>
      <w:r>
        <w:rPr>
          <w:rFonts w:hint="eastAsia" w:ascii="方正仿宋_GBK" w:hAnsi="方正仿宋_GBK" w:eastAsia="方正仿宋_GBK" w:cs="方正仿宋_GBK"/>
          <w:spacing w:val="-2"/>
          <w:sz w:val="32"/>
          <w:szCs w:val="32"/>
          <w:lang w:val="en-US" w:eastAsia="zh-CN"/>
        </w:rPr>
        <w:t>《</w:t>
      </w:r>
      <w:r>
        <w:rPr>
          <w:rFonts w:hint="eastAsia" w:ascii="方正仿宋_GBK" w:hAnsi="方正仿宋_GBK" w:eastAsia="方正仿宋_GBK" w:cs="方正仿宋_GBK"/>
          <w:spacing w:val="-2"/>
          <w:kern w:val="2"/>
          <w:sz w:val="32"/>
          <w:szCs w:val="32"/>
          <w:lang w:val="en-US" w:eastAsia="zh-CN" w:bidi="ar-SA"/>
        </w:rPr>
        <w:t>关于进一步规范药品经营许可管理有关事项的通告（2023年第4号）</w:t>
      </w:r>
      <w:r>
        <w:rPr>
          <w:rFonts w:hint="eastAsia" w:ascii="方正仿宋_GBK" w:hAnsi="方正仿宋_GBK" w:eastAsia="方正仿宋_GBK" w:cs="方正仿宋_GBK"/>
          <w:spacing w:val="-2"/>
          <w:sz w:val="32"/>
          <w:szCs w:val="32"/>
          <w:lang w:val="en-US" w:eastAsia="zh-CN"/>
        </w:rPr>
        <w:t>》中不予受理的情形；</w:t>
      </w:r>
      <w:r>
        <w:rPr>
          <w:rFonts w:hint="eastAsia" w:ascii="Times New Roman" w:hAnsi="Times New Roman" w:eastAsia="方正仿宋_GBK" w:cs="方正仿宋_GBK"/>
          <w:color w:val="auto"/>
          <w:kern w:val="2"/>
          <w:sz w:val="30"/>
          <w:szCs w:val="30"/>
          <w:lang w:val="en-US" w:eastAsia="zh-CN" w:bidi="ar-SA"/>
        </w:rPr>
        <w:t>因企业兼并重组所涉及的许可证照变更及债权债务而引起的法律纠纷、后果与行政机关无关等内容）。</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方正楷体_GBK" w:hAnsi="方正楷体_GBK" w:eastAsia="方正楷体_GBK" w:cs="方正楷体_GBK"/>
          <w:i w:val="0"/>
          <w:iCs w:val="0"/>
          <w:caps w:val="0"/>
          <w:color w:val="auto"/>
          <w:spacing w:val="0"/>
          <w:sz w:val="32"/>
          <w:szCs w:val="32"/>
          <w:shd w:val="clear" w:color="auto" w:fill="FFFFFF"/>
          <w:lang w:val="en-US" w:eastAsia="zh-CN"/>
        </w:rPr>
      </w:pPr>
      <w:r>
        <w:rPr>
          <w:rFonts w:hint="eastAsia" w:ascii="方正楷体_GBK" w:hAnsi="方正楷体_GBK" w:eastAsia="方正楷体_GBK" w:cs="方正楷体_GBK"/>
          <w:i w:val="0"/>
          <w:iCs w:val="0"/>
          <w:caps w:val="0"/>
          <w:color w:val="auto"/>
          <w:spacing w:val="0"/>
          <w:sz w:val="32"/>
          <w:szCs w:val="32"/>
          <w:shd w:val="clear" w:color="auto" w:fill="FFFFFF"/>
          <w:lang w:val="en-US" w:eastAsia="zh-CN"/>
        </w:rPr>
        <w:t>（二）</w:t>
      </w:r>
      <w:r>
        <w:rPr>
          <w:rFonts w:hint="eastAsia" w:ascii="方正楷体_GBK" w:hAnsi="方正楷体_GBK" w:eastAsia="方正楷体_GBK" w:cs="方正楷体_GBK"/>
          <w:i w:val="0"/>
          <w:iCs w:val="0"/>
          <w:caps w:val="0"/>
          <w:color w:val="auto"/>
          <w:spacing w:val="0"/>
          <w:sz w:val="32"/>
          <w:szCs w:val="32"/>
          <w:highlight w:val="none"/>
          <w:shd w:val="clear" w:color="auto" w:fill="FFFFFF"/>
          <w:lang w:val="en-US" w:eastAsia="zh-CN"/>
        </w:rPr>
        <w:t>采取变更</w:t>
      </w:r>
      <w:r>
        <w:rPr>
          <w:rFonts w:hint="eastAsia" w:ascii="方正楷体_GBK" w:hAnsi="方正楷体_GBK" w:eastAsia="方正楷体_GBK" w:cs="方正楷体_GBK"/>
          <w:i w:val="0"/>
          <w:iCs w:val="0"/>
          <w:caps w:val="0"/>
          <w:color w:val="auto"/>
          <w:spacing w:val="0"/>
          <w:sz w:val="32"/>
          <w:szCs w:val="32"/>
          <w:highlight w:val="none"/>
          <w:shd w:val="clear" w:color="auto" w:fill="FFFFFF"/>
        </w:rPr>
        <w:t>《药品经营许可证》</w:t>
      </w:r>
      <w:r>
        <w:rPr>
          <w:rFonts w:hint="eastAsia" w:ascii="方正楷体_GBK" w:hAnsi="方正楷体_GBK" w:eastAsia="方正楷体_GBK" w:cs="方正楷体_GBK"/>
          <w:i w:val="0"/>
          <w:iCs w:val="0"/>
          <w:caps w:val="0"/>
          <w:color w:val="auto"/>
          <w:spacing w:val="0"/>
          <w:sz w:val="32"/>
          <w:szCs w:val="32"/>
          <w:highlight w:val="none"/>
          <w:shd w:val="clear" w:color="auto" w:fill="FFFFFF"/>
          <w:lang w:val="en-US" w:eastAsia="zh-CN"/>
        </w:rPr>
        <w:t>持证主体方式（含关联其他许可事项和登记事项变更）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outlineLvl w:val="9"/>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kern w:val="2"/>
          <w:sz w:val="32"/>
          <w:szCs w:val="32"/>
          <w:shd w:val="clear" w:color="auto" w:fill="FFFFFF"/>
          <w:lang w:val="en-US" w:eastAsia="zh-CN" w:bidi="ar-SA"/>
        </w:rPr>
        <w:t>兼并重组后，被兼并方公司继续存续，仅发生股权变更的，进行《药品经营许可证》持证主体变更，按照湖北省政务服务网《药品经营许可证》（批发或零售连锁总部）的经营范围、注册地址、仓库地址（包括增减仓库）等事项变更办事指南》申请变更原《药品经营许可证》的登记事项和许可事项</w:t>
      </w:r>
      <w:r>
        <w:rPr>
          <w:rFonts w:hint="eastAsia" w:ascii="方正仿宋_GBK" w:hAnsi="方正仿宋_GBK" w:eastAsia="方正仿宋_GBK" w:cs="方正仿宋_GBK"/>
          <w:i w:val="0"/>
          <w:iCs w:val="0"/>
          <w:caps w:val="0"/>
          <w:color w:val="auto"/>
          <w:spacing w:val="0"/>
          <w:sz w:val="32"/>
          <w:szCs w:val="32"/>
          <w:u w:val="none"/>
          <w:shd w:val="clear" w:color="auto" w:fill="FFFFFF"/>
          <w:lang w:val="en-US"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hint="eastAsia" w:ascii="方正黑体_GBK" w:hAnsi="方正黑体_GBK" w:eastAsia="方正黑体_GBK" w:cs="方正黑体_GBK"/>
          <w:b w:val="0"/>
          <w:bCs w:val="0"/>
          <w:i w:val="0"/>
          <w:iCs w:val="0"/>
          <w:caps w:val="0"/>
          <w:color w:val="auto"/>
          <w:spacing w:val="0"/>
          <w:sz w:val="32"/>
          <w:szCs w:val="32"/>
          <w:shd w:val="clear" w:color="auto" w:fill="FFFFFF"/>
          <w:lang w:eastAsia="zh-CN"/>
        </w:rPr>
      </w:pPr>
      <w:r>
        <w:rPr>
          <w:rFonts w:hint="eastAsia" w:ascii="方正黑体_GBK" w:hAnsi="方正黑体_GBK" w:eastAsia="方正黑体_GBK" w:cs="方正黑体_GBK"/>
          <w:b w:val="0"/>
          <w:bCs w:val="0"/>
          <w:i w:val="0"/>
          <w:iCs w:val="0"/>
          <w:caps w:val="0"/>
          <w:color w:val="auto"/>
          <w:spacing w:val="0"/>
          <w:sz w:val="32"/>
          <w:szCs w:val="32"/>
          <w:shd w:val="clear" w:color="auto" w:fill="FFFFFF"/>
          <w:lang w:val="en-US" w:eastAsia="zh-CN"/>
        </w:rPr>
        <w:t>四、</w:t>
      </w:r>
      <w:r>
        <w:rPr>
          <w:rFonts w:hint="eastAsia" w:ascii="方正黑体_GBK" w:hAnsi="方正黑体_GBK" w:eastAsia="方正黑体_GBK" w:cs="方正黑体_GBK"/>
          <w:b w:val="0"/>
          <w:bCs w:val="0"/>
          <w:i w:val="0"/>
          <w:iCs w:val="0"/>
          <w:caps w:val="0"/>
          <w:color w:val="auto"/>
          <w:spacing w:val="0"/>
          <w:sz w:val="32"/>
          <w:szCs w:val="32"/>
          <w:shd w:val="clear" w:color="auto" w:fill="FFFFFF"/>
          <w:lang w:eastAsia="zh-CN"/>
        </w:rPr>
        <w:t>工作程序</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方正楷体_GBK" w:hAnsi="方正楷体_GBK" w:eastAsia="方正楷体_GBK" w:cs="方正楷体_GBK"/>
          <w:b w:val="0"/>
          <w:bCs w:val="0"/>
          <w:i w:val="0"/>
          <w:iCs w:val="0"/>
          <w:caps w:val="0"/>
          <w:color w:val="auto"/>
          <w:spacing w:val="0"/>
          <w:kern w:val="0"/>
          <w:sz w:val="32"/>
          <w:szCs w:val="32"/>
          <w:shd w:val="clear" w:color="auto" w:fill="FFFFFF"/>
          <w:lang w:val="en-US" w:eastAsia="zh-CN" w:bidi="ar"/>
        </w:rPr>
      </w:pPr>
      <w:r>
        <w:rPr>
          <w:rFonts w:hint="eastAsia" w:ascii="方正楷体_GBK" w:hAnsi="方正楷体_GBK" w:eastAsia="方正楷体_GBK" w:cs="方正楷体_GBK"/>
          <w:b w:val="0"/>
          <w:bCs w:val="0"/>
          <w:i w:val="0"/>
          <w:iCs w:val="0"/>
          <w:caps w:val="0"/>
          <w:color w:val="auto"/>
          <w:spacing w:val="0"/>
          <w:kern w:val="0"/>
          <w:sz w:val="32"/>
          <w:szCs w:val="32"/>
          <w:shd w:val="clear" w:color="auto" w:fill="FFFFFF"/>
          <w:lang w:val="en-US" w:eastAsia="zh-CN" w:bidi="ar"/>
        </w:rPr>
        <w:t>（一）受理</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方正仿宋_GBK" w:hAnsi="方正仿宋_GBK" w:eastAsia="方正仿宋_GBK" w:cs="方正仿宋_GBK"/>
          <w:i w:val="0"/>
          <w:iCs w:val="0"/>
          <w:caps w:val="0"/>
          <w:color w:val="auto"/>
          <w:spacing w:val="0"/>
          <w:kern w:val="0"/>
          <w:sz w:val="32"/>
          <w:szCs w:val="32"/>
          <w:shd w:val="clear" w:color="auto" w:fill="FFFFFF"/>
          <w:lang w:val="en-US" w:eastAsia="zh-CN" w:bidi="ar"/>
        </w:rPr>
      </w:pPr>
      <w:r>
        <w:rPr>
          <w:rFonts w:hint="eastAsia" w:ascii="方正仿宋_GBK" w:hAnsi="方正仿宋_GBK" w:eastAsia="方正仿宋_GBK" w:cs="方正仿宋_GBK"/>
          <w:i w:val="0"/>
          <w:iCs w:val="0"/>
          <w:caps w:val="0"/>
          <w:color w:val="auto"/>
          <w:spacing w:val="0"/>
          <w:kern w:val="0"/>
          <w:sz w:val="32"/>
          <w:szCs w:val="32"/>
          <w:shd w:val="clear" w:color="auto" w:fill="FFFFFF"/>
          <w:lang w:val="en-US" w:eastAsia="zh-CN" w:bidi="ar"/>
        </w:rPr>
        <w:t>申请人申请《药品经营许可证》核发许可或变更许可事项的，应登录湖北省政务服务网（http://zwfw.hubei.gov.cn/）进行申请，受理机构自收到申请材料后5个工作日内，对申请材料进行形式审查。根据下列情况分别作出受理或不予受理申请的决定，并出具《受理通知书》或《不予受理通知书》：</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方正仿宋_GBK" w:hAnsi="方正仿宋_GBK" w:eastAsia="方正仿宋_GBK" w:cs="方正仿宋_GBK"/>
          <w:i w:val="0"/>
          <w:iCs w:val="0"/>
          <w:caps w:val="0"/>
          <w:color w:val="auto"/>
          <w:spacing w:val="0"/>
          <w:kern w:val="0"/>
          <w:sz w:val="32"/>
          <w:szCs w:val="32"/>
          <w:shd w:val="clear" w:color="auto" w:fill="FFFFFF"/>
          <w:lang w:val="en-US" w:eastAsia="zh-CN" w:bidi="ar"/>
        </w:rPr>
      </w:pPr>
      <w:r>
        <w:rPr>
          <w:rFonts w:hint="eastAsia" w:ascii="方正仿宋_GBK" w:hAnsi="方正仿宋_GBK" w:eastAsia="方正仿宋_GBK" w:cs="方正仿宋_GBK"/>
          <w:i w:val="0"/>
          <w:iCs w:val="0"/>
          <w:caps w:val="0"/>
          <w:color w:val="auto"/>
          <w:spacing w:val="0"/>
          <w:kern w:val="0"/>
          <w:sz w:val="32"/>
          <w:szCs w:val="32"/>
          <w:shd w:val="clear" w:color="auto" w:fill="FFFFFF"/>
          <w:lang w:val="en-US" w:eastAsia="zh-CN" w:bidi="ar"/>
        </w:rPr>
        <w:t>1.申请事项依法不属于本机关职权范围的，即时作出不予受理的决定，出具《不予受理通知书》，并告知申请人向有关行政机关申请；</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方正仿宋_GBK" w:hAnsi="方正仿宋_GBK" w:eastAsia="方正仿宋_GBK" w:cs="方正仿宋_GBK"/>
          <w:i w:val="0"/>
          <w:iCs w:val="0"/>
          <w:caps w:val="0"/>
          <w:color w:val="auto"/>
          <w:spacing w:val="0"/>
          <w:kern w:val="0"/>
          <w:sz w:val="32"/>
          <w:szCs w:val="32"/>
          <w:shd w:val="clear" w:color="auto" w:fill="FFFFFF"/>
          <w:lang w:val="en-US" w:eastAsia="zh-CN" w:bidi="ar"/>
        </w:rPr>
      </w:pPr>
      <w:r>
        <w:rPr>
          <w:rFonts w:hint="eastAsia" w:ascii="方正仿宋_GBK" w:hAnsi="方正仿宋_GBK" w:eastAsia="方正仿宋_GBK" w:cs="方正仿宋_GBK"/>
          <w:i w:val="0"/>
          <w:iCs w:val="0"/>
          <w:caps w:val="0"/>
          <w:color w:val="auto"/>
          <w:spacing w:val="0"/>
          <w:kern w:val="0"/>
          <w:sz w:val="32"/>
          <w:szCs w:val="32"/>
          <w:shd w:val="clear" w:color="auto" w:fill="FFFFFF"/>
          <w:lang w:val="en-US" w:eastAsia="zh-CN" w:bidi="ar"/>
        </w:rPr>
        <w:t>2.申请材料不齐全或不符合法定形式的，在5个工作日内发给申请人书面通知，一次性告知申请人需要补正的全部内容，逾期不告知的，自收到申请材料之日起即为受理；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方正仿宋_GBK" w:hAnsi="方正仿宋_GBK" w:eastAsia="方正仿宋_GBK" w:cs="方正仿宋_GBK"/>
          <w:i w:val="0"/>
          <w:iCs w:val="0"/>
          <w:caps w:val="0"/>
          <w:color w:val="auto"/>
          <w:spacing w:val="0"/>
          <w:kern w:val="0"/>
          <w:sz w:val="32"/>
          <w:szCs w:val="32"/>
          <w:shd w:val="clear" w:color="auto" w:fill="FFFFFF"/>
          <w:lang w:val="en-US" w:eastAsia="zh-CN" w:bidi="ar"/>
        </w:rPr>
      </w:pPr>
      <w:r>
        <w:rPr>
          <w:rFonts w:hint="eastAsia" w:ascii="方正仿宋_GBK" w:hAnsi="方正仿宋_GBK" w:eastAsia="方正仿宋_GBK" w:cs="方正仿宋_GBK"/>
          <w:i w:val="0"/>
          <w:iCs w:val="0"/>
          <w:caps w:val="0"/>
          <w:color w:val="auto"/>
          <w:spacing w:val="0"/>
          <w:kern w:val="0"/>
          <w:sz w:val="32"/>
          <w:szCs w:val="32"/>
          <w:shd w:val="clear" w:color="auto" w:fill="FFFFFF"/>
          <w:lang w:val="en-US" w:eastAsia="zh-CN" w:bidi="ar"/>
        </w:rPr>
        <w:t>3.申请材料齐全、符合形式审查要求，或申请人按照要求提交全部补正材料的，予以受理，出具《受理通知书》。</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方正楷体_GBK" w:hAnsi="方正楷体_GBK" w:eastAsia="方正楷体_GBK" w:cs="方正楷体_GBK"/>
          <w:b w:val="0"/>
          <w:bCs w:val="0"/>
          <w:i w:val="0"/>
          <w:iCs w:val="0"/>
          <w:caps w:val="0"/>
          <w:color w:val="auto"/>
          <w:spacing w:val="0"/>
          <w:kern w:val="0"/>
          <w:sz w:val="32"/>
          <w:szCs w:val="32"/>
          <w:shd w:val="clear" w:color="auto" w:fill="FFFFFF"/>
          <w:lang w:val="en-US" w:eastAsia="zh-CN" w:bidi="ar"/>
        </w:rPr>
      </w:pPr>
      <w:r>
        <w:rPr>
          <w:rFonts w:hint="eastAsia" w:ascii="方正楷体_GBK" w:hAnsi="方正楷体_GBK" w:eastAsia="方正楷体_GBK" w:cs="方正楷体_GBK"/>
          <w:b w:val="0"/>
          <w:bCs w:val="0"/>
          <w:i w:val="0"/>
          <w:iCs w:val="0"/>
          <w:caps w:val="0"/>
          <w:color w:val="auto"/>
          <w:spacing w:val="0"/>
          <w:kern w:val="0"/>
          <w:sz w:val="32"/>
          <w:szCs w:val="32"/>
          <w:shd w:val="clear" w:color="auto" w:fill="FFFFFF"/>
          <w:lang w:val="en-US" w:eastAsia="zh-CN" w:bidi="ar"/>
        </w:rPr>
        <w:t>（二）审查和决定</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hint="eastAsia" w:ascii="方正仿宋_GBK" w:hAnsi="方正仿宋_GBK" w:eastAsia="方正仿宋_GBK" w:cs="方正仿宋_GBK"/>
          <w:b w:val="0"/>
          <w:bCs w:val="0"/>
          <w:i w:val="0"/>
          <w:iCs w:val="0"/>
          <w:caps w:val="0"/>
          <w:color w:val="auto"/>
          <w:spacing w:val="0"/>
          <w:sz w:val="32"/>
          <w:szCs w:val="32"/>
          <w:lang w:eastAsia="zh-CN"/>
        </w:rPr>
      </w:pPr>
      <w:r>
        <w:rPr>
          <w:rFonts w:hint="eastAsia" w:ascii="方正仿宋_GBK" w:hAnsi="方正仿宋_GBK" w:eastAsia="方正仿宋_GBK" w:cs="方正仿宋_GBK"/>
          <w:b w:val="0"/>
          <w:bCs w:val="0"/>
          <w:i w:val="0"/>
          <w:iCs w:val="0"/>
          <w:caps w:val="0"/>
          <w:color w:val="auto"/>
          <w:spacing w:val="0"/>
          <w:sz w:val="32"/>
          <w:szCs w:val="32"/>
          <w:shd w:val="clear" w:color="auto" w:fill="FFFFFF"/>
        </w:rPr>
        <w:t>许可事项变更</w:t>
      </w:r>
      <w:r>
        <w:rPr>
          <w:rFonts w:hint="eastAsia" w:ascii="方正仿宋_GBK" w:hAnsi="方正仿宋_GBK" w:eastAsia="方正仿宋_GBK" w:cs="方正仿宋_GBK"/>
          <w:b w:val="0"/>
          <w:bCs w:val="0"/>
          <w:i w:val="0"/>
          <w:iCs w:val="0"/>
          <w:caps w:val="0"/>
          <w:color w:val="auto"/>
          <w:spacing w:val="0"/>
          <w:sz w:val="32"/>
          <w:szCs w:val="32"/>
          <w:shd w:val="clear" w:color="auto" w:fill="FFFFFF"/>
          <w:lang w:val="en-US" w:eastAsia="zh-CN"/>
        </w:rPr>
        <w:t>10</w:t>
      </w:r>
      <w:r>
        <w:rPr>
          <w:rFonts w:hint="eastAsia" w:ascii="方正仿宋_GBK" w:hAnsi="方正仿宋_GBK" w:eastAsia="方正仿宋_GBK" w:cs="方正仿宋_GBK"/>
          <w:b w:val="0"/>
          <w:bCs w:val="0"/>
          <w:i w:val="0"/>
          <w:iCs w:val="0"/>
          <w:caps w:val="0"/>
          <w:color w:val="auto"/>
          <w:spacing w:val="0"/>
          <w:sz w:val="32"/>
          <w:szCs w:val="32"/>
          <w:shd w:val="clear" w:color="auto" w:fill="FFFFFF"/>
        </w:rPr>
        <w:t>个工作日，登记事项变更1个工作日</w:t>
      </w:r>
      <w:r>
        <w:rPr>
          <w:rFonts w:hint="eastAsia" w:ascii="方正仿宋_GBK" w:hAnsi="方正仿宋_GBK" w:eastAsia="方正仿宋_GBK" w:cs="方正仿宋_GBK"/>
          <w:b w:val="0"/>
          <w:bCs w:val="0"/>
          <w:i w:val="0"/>
          <w:iCs w:val="0"/>
          <w:caps w:val="0"/>
          <w:color w:val="auto"/>
          <w:spacing w:val="0"/>
          <w:sz w:val="32"/>
          <w:szCs w:val="32"/>
          <w:shd w:val="clear" w:color="auto" w:fill="FFFFFF"/>
          <w:lang w:eastAsia="zh-CN"/>
        </w:rPr>
        <w:t>，</w:t>
      </w:r>
      <w:r>
        <w:rPr>
          <w:rFonts w:hint="eastAsia" w:ascii="方正仿宋_GBK" w:hAnsi="方正仿宋_GBK" w:eastAsia="方正仿宋_GBK" w:cs="方正仿宋_GBK"/>
          <w:b w:val="0"/>
          <w:bCs w:val="0"/>
          <w:i w:val="0"/>
          <w:iCs w:val="0"/>
          <w:caps w:val="0"/>
          <w:color w:val="auto"/>
          <w:spacing w:val="0"/>
          <w:sz w:val="32"/>
          <w:szCs w:val="32"/>
          <w:shd w:val="clear" w:color="auto" w:fill="FFFFFF"/>
        </w:rPr>
        <w:t>不含现场检查、资料补正和整改时间</w:t>
      </w:r>
      <w:r>
        <w:rPr>
          <w:rFonts w:hint="eastAsia" w:ascii="方正仿宋_GBK" w:hAnsi="方正仿宋_GBK" w:eastAsia="方正仿宋_GBK" w:cs="方正仿宋_GBK"/>
          <w:b w:val="0"/>
          <w:bCs w:val="0"/>
          <w:i w:val="0"/>
          <w:iCs w:val="0"/>
          <w:caps w:val="0"/>
          <w:color w:val="auto"/>
          <w:spacing w:val="0"/>
          <w:sz w:val="32"/>
          <w:szCs w:val="32"/>
          <w:shd w:val="clear" w:color="auto" w:fill="FFFFFF"/>
          <w:lang w:eastAsia="zh-CN"/>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b w:val="0"/>
          <w:bCs w:val="0"/>
          <w:i w:val="0"/>
          <w:iCs w:val="0"/>
          <w:caps w:val="0"/>
          <w:color w:val="auto"/>
          <w:spacing w:val="0"/>
          <w:sz w:val="32"/>
          <w:szCs w:val="32"/>
          <w:shd w:val="clear" w:color="auto" w:fill="FFFFFF"/>
        </w:rPr>
        <w:t>药品检查机构自收到申请材料后，对申请材料进行技术审查，组织现场检查，对现场验收记</w:t>
      </w:r>
      <w:r>
        <w:rPr>
          <w:rFonts w:hint="eastAsia" w:ascii="方正仿宋_GBK" w:hAnsi="方正仿宋_GBK" w:eastAsia="方正仿宋_GBK" w:cs="方正仿宋_GBK"/>
          <w:i w:val="0"/>
          <w:iCs w:val="0"/>
          <w:caps w:val="0"/>
          <w:color w:val="auto"/>
          <w:spacing w:val="0"/>
          <w:sz w:val="32"/>
          <w:szCs w:val="32"/>
          <w:shd w:val="clear" w:color="auto" w:fill="FFFFFF"/>
        </w:rPr>
        <w:t>录和企业整改资料进行核查，提出技术审查结论性意见</w:t>
      </w:r>
      <w:r>
        <w:rPr>
          <w:rFonts w:hint="eastAsia" w:ascii="方正仿宋_GBK" w:hAnsi="方正仿宋_GBK" w:eastAsia="方正仿宋_GBK" w:cs="方正仿宋_GBK"/>
          <w:b w:val="0"/>
          <w:bCs w:val="0"/>
          <w:i w:val="0"/>
          <w:iCs w:val="0"/>
          <w:caps w:val="0"/>
          <w:color w:val="auto"/>
          <w:spacing w:val="0"/>
          <w:sz w:val="32"/>
          <w:szCs w:val="32"/>
          <w:shd w:val="clear" w:color="auto" w:fill="FFFFFF"/>
        </w:rPr>
        <w:t>，制定工作方案及实施现场检查工作时限为15个工作日</w:t>
      </w:r>
      <w:r>
        <w:rPr>
          <w:rFonts w:hint="eastAsia" w:ascii="方正仿宋_GBK" w:hAnsi="方正仿宋_GBK" w:eastAsia="方正仿宋_GBK" w:cs="方正仿宋_GBK"/>
          <w:i w:val="0"/>
          <w:iCs w:val="0"/>
          <w:caps w:val="0"/>
          <w:color w:val="auto"/>
          <w:spacing w:val="0"/>
          <w:sz w:val="32"/>
          <w:szCs w:val="32"/>
          <w:shd w:val="clear" w:color="auto" w:fill="FFFFFF"/>
        </w:rPr>
        <w:t>。</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方正仿宋_GBK" w:hAnsi="方正仿宋_GBK" w:eastAsia="方正仿宋_GBK" w:cs="方正仿宋_GBK"/>
          <w:i w:val="0"/>
          <w:iCs w:val="0"/>
          <w:caps w:val="0"/>
          <w:color w:val="auto"/>
          <w:spacing w:val="0"/>
          <w:sz w:val="32"/>
          <w:szCs w:val="32"/>
          <w:shd w:val="clear" w:color="auto" w:fill="FFFFFF"/>
        </w:rPr>
      </w:pPr>
      <w: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t>1.检查</w:t>
      </w:r>
      <w:r>
        <w:rPr>
          <w:rFonts w:hint="eastAsia" w:ascii="方正仿宋_GBK" w:hAnsi="方正仿宋_GBK" w:eastAsia="方正仿宋_GBK" w:cs="方正仿宋_GBK"/>
          <w:i w:val="0"/>
          <w:iCs w:val="0"/>
          <w:caps w:val="0"/>
          <w:color w:val="auto"/>
          <w:spacing w:val="0"/>
          <w:sz w:val="32"/>
          <w:szCs w:val="32"/>
          <w:shd w:val="clear" w:color="auto" w:fill="FFFFFF"/>
        </w:rPr>
        <w:t>机构对申请材料进行技术</w:t>
      </w:r>
      <w: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t>审核</w:t>
      </w:r>
      <w:r>
        <w:rPr>
          <w:rFonts w:hint="eastAsia" w:ascii="方正仿宋_GBK" w:hAnsi="方正仿宋_GBK" w:eastAsia="方正仿宋_GBK" w:cs="方正仿宋_GBK"/>
          <w:i w:val="0"/>
          <w:iCs w:val="0"/>
          <w:caps w:val="0"/>
          <w:color w:val="auto"/>
          <w:spacing w:val="0"/>
          <w:sz w:val="32"/>
          <w:szCs w:val="32"/>
          <w:shd w:val="clear" w:color="auto" w:fill="FFFFFF"/>
        </w:rPr>
        <w:t>，</w:t>
      </w:r>
      <w: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t>采取“注销老证、核发新证”方式兼并重组申请新核发许可事项，</w:t>
      </w:r>
      <w:r>
        <w:rPr>
          <w:rFonts w:hint="eastAsia" w:ascii="方正仿宋_GBK" w:hAnsi="方正仿宋_GBK" w:eastAsia="方正仿宋_GBK" w:cs="方正仿宋_GBK"/>
          <w:i w:val="0"/>
          <w:iCs w:val="0"/>
          <w:caps w:val="0"/>
          <w:color w:val="auto"/>
          <w:spacing w:val="0"/>
          <w:sz w:val="32"/>
          <w:szCs w:val="32"/>
          <w:shd w:val="clear" w:color="auto" w:fill="FFFFFF"/>
        </w:rPr>
        <w:t>符合要求的，组织开展现场检查</w:t>
      </w:r>
      <w:r>
        <w:rPr>
          <w:rFonts w:hint="eastAsia" w:ascii="方正仿宋_GBK" w:hAnsi="方正仿宋_GBK" w:eastAsia="方正仿宋_GBK" w:cs="方正仿宋_GBK"/>
          <w:i w:val="0"/>
          <w:iCs w:val="0"/>
          <w:caps w:val="0"/>
          <w:color w:val="auto"/>
          <w:spacing w:val="0"/>
          <w:sz w:val="32"/>
          <w:szCs w:val="32"/>
          <w:shd w:val="clear" w:color="auto" w:fill="FFFFFF"/>
          <w:lang w:eastAsia="zh-CN"/>
        </w:rPr>
        <w:t>；</w:t>
      </w:r>
      <w: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t>采取变更《药品经营许可证》持证主体（含关联其他许可事项和登记事项变更）兼并重组方式的，</w:t>
      </w:r>
      <w:r>
        <w:rPr>
          <w:rFonts w:hint="eastAsia" w:ascii="方正仿宋_GBK" w:hAnsi="方正仿宋_GBK" w:eastAsia="方正仿宋_GBK" w:cs="方正仿宋_GBK"/>
          <w:i w:val="0"/>
          <w:iCs w:val="0"/>
          <w:caps w:val="0"/>
          <w:color w:val="auto"/>
          <w:spacing w:val="0"/>
          <w:sz w:val="32"/>
          <w:szCs w:val="32"/>
          <w:shd w:val="clear" w:color="auto" w:fill="FFFFFF"/>
        </w:rPr>
        <w:t>符合要求的，组织开展现场检查</w:t>
      </w:r>
      <w:r>
        <w:rPr>
          <w:rFonts w:hint="eastAsia" w:ascii="方正仿宋_GBK" w:hAnsi="方正仿宋_GBK" w:eastAsia="方正仿宋_GBK" w:cs="方正仿宋_GBK"/>
          <w:i w:val="0"/>
          <w:iCs w:val="0"/>
          <w:caps w:val="0"/>
          <w:color w:val="auto"/>
          <w:spacing w:val="0"/>
          <w:sz w:val="32"/>
          <w:szCs w:val="32"/>
          <w:shd w:val="clear" w:color="auto" w:fill="FFFFFF"/>
          <w:lang w:eastAsia="zh-CN"/>
        </w:rPr>
        <w:t>、</w:t>
      </w:r>
      <w: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t>非现场检查或书面审核</w:t>
      </w:r>
      <w:r>
        <w:rPr>
          <w:rFonts w:hint="eastAsia" w:ascii="方正仿宋_GBK" w:hAnsi="方正仿宋_GBK" w:eastAsia="方正仿宋_GBK" w:cs="方正仿宋_GBK"/>
          <w:i w:val="0"/>
          <w:iCs w:val="0"/>
          <w:caps w:val="0"/>
          <w:color w:val="auto"/>
          <w:spacing w:val="0"/>
          <w:sz w:val="32"/>
          <w:szCs w:val="32"/>
          <w:shd w:val="clear" w:color="auto" w:fill="FFFFFF"/>
        </w:rPr>
        <w:t>，出具审核意见。</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outlineLvl w:val="9"/>
        <w:rPr>
          <w:rFonts w:hint="eastAsia" w:ascii="方正仿宋_GBK" w:hAnsi="方正仿宋_GBK" w:eastAsia="方正仿宋_GBK" w:cs="方正仿宋_GBK"/>
          <w:i w:val="0"/>
          <w:iCs w:val="0"/>
          <w:caps w:val="0"/>
          <w:color w:val="auto"/>
          <w:spacing w:val="0"/>
          <w:sz w:val="32"/>
          <w:szCs w:val="32"/>
          <w:shd w:val="clear" w:color="auto" w:fill="FFFFFF"/>
          <w:lang w:eastAsia="zh-CN"/>
        </w:rPr>
      </w:pPr>
      <w: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t>2.省药监局</w:t>
      </w:r>
      <w:r>
        <w:rPr>
          <w:rFonts w:hint="eastAsia" w:ascii="方正仿宋_GBK" w:hAnsi="方正仿宋_GBK" w:eastAsia="方正仿宋_GBK" w:cs="方正仿宋_GBK"/>
          <w:i w:val="0"/>
          <w:iCs w:val="0"/>
          <w:caps w:val="0"/>
          <w:color w:val="auto"/>
          <w:spacing w:val="0"/>
          <w:sz w:val="32"/>
          <w:szCs w:val="32"/>
          <w:shd w:val="clear" w:color="auto" w:fill="FFFFFF"/>
        </w:rPr>
        <w:t>根据企业申请材料、</w:t>
      </w:r>
      <w: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t>综合评定报告及检查报告</w:t>
      </w:r>
      <w:r>
        <w:rPr>
          <w:rFonts w:hint="eastAsia" w:ascii="方正仿宋_GBK" w:hAnsi="方正仿宋_GBK" w:eastAsia="方正仿宋_GBK" w:cs="方正仿宋_GBK"/>
          <w:i w:val="0"/>
          <w:iCs w:val="0"/>
          <w:caps w:val="0"/>
          <w:color w:val="auto"/>
          <w:spacing w:val="0"/>
          <w:sz w:val="32"/>
          <w:szCs w:val="32"/>
          <w:shd w:val="clear" w:color="auto" w:fill="FFFFFF"/>
        </w:rPr>
        <w:t>、企业整改确认情况，</w:t>
      </w:r>
      <w:r>
        <w:rPr>
          <w:rFonts w:hint="eastAsia" w:ascii="方正仿宋_GBK" w:hAnsi="方正仿宋_GBK" w:eastAsia="方正仿宋_GBK" w:cs="方正仿宋_GBK"/>
          <w:i w:val="0"/>
          <w:iCs w:val="0"/>
          <w:caps w:val="0"/>
          <w:color w:val="auto"/>
          <w:spacing w:val="0"/>
          <w:sz w:val="32"/>
          <w:szCs w:val="32"/>
          <w:shd w:val="clear" w:color="auto" w:fill="FFFFFF"/>
          <w:lang w:eastAsia="zh-CN"/>
        </w:rPr>
        <w:t>依法依规</w:t>
      </w:r>
      <w:r>
        <w:rPr>
          <w:rFonts w:hint="eastAsia" w:ascii="方正仿宋_GBK" w:hAnsi="方正仿宋_GBK" w:eastAsia="方正仿宋_GBK" w:cs="方正仿宋_GBK"/>
          <w:i w:val="0"/>
          <w:iCs w:val="0"/>
          <w:caps w:val="0"/>
          <w:color w:val="auto"/>
          <w:spacing w:val="0"/>
          <w:sz w:val="32"/>
          <w:szCs w:val="32"/>
          <w:shd w:val="clear" w:color="auto" w:fill="FFFFFF"/>
        </w:rPr>
        <w:t>作出行政许可决定</w:t>
      </w:r>
      <w:r>
        <w:rPr>
          <w:rFonts w:hint="eastAsia" w:ascii="方正仿宋_GBK" w:hAnsi="方正仿宋_GBK" w:eastAsia="方正仿宋_GBK" w:cs="方正仿宋_GBK"/>
          <w:i w:val="0"/>
          <w:iCs w:val="0"/>
          <w:caps w:val="0"/>
          <w:color w:val="auto"/>
          <w:spacing w:val="0"/>
          <w:sz w:val="32"/>
          <w:szCs w:val="32"/>
          <w:shd w:val="clear" w:color="auto" w:fill="FFFFFF"/>
          <w:lang w:eastAsia="zh-CN"/>
        </w:rPr>
        <w:t>。</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outlineLvl w:val="9"/>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shd w:val="clear" w:color="auto" w:fill="FFFFFF"/>
        </w:rPr>
        <w:t>3.符合行政许可要求的，核发</w:t>
      </w:r>
      <w: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t>或变更</w:t>
      </w:r>
      <w:r>
        <w:rPr>
          <w:rFonts w:hint="eastAsia" w:ascii="方正仿宋_GBK" w:hAnsi="方正仿宋_GBK" w:eastAsia="方正仿宋_GBK" w:cs="方正仿宋_GBK"/>
          <w:i w:val="0"/>
          <w:iCs w:val="0"/>
          <w:caps w:val="0"/>
          <w:color w:val="auto"/>
          <w:spacing w:val="0"/>
          <w:sz w:val="32"/>
          <w:szCs w:val="32"/>
          <w:shd w:val="clear" w:color="auto" w:fill="FFFFFF"/>
        </w:rPr>
        <w:t>《药品经营许可证》</w:t>
      </w:r>
      <w:r>
        <w:rPr>
          <w:rFonts w:hint="eastAsia" w:ascii="方正仿宋_GBK" w:hAnsi="方正仿宋_GBK" w:eastAsia="方正仿宋_GBK" w:cs="方正仿宋_GBK"/>
          <w:i w:val="0"/>
          <w:iCs w:val="0"/>
          <w:caps w:val="0"/>
          <w:color w:val="auto"/>
          <w:spacing w:val="0"/>
          <w:sz w:val="32"/>
          <w:szCs w:val="32"/>
          <w:shd w:val="clear" w:color="auto" w:fill="FFFFFF"/>
          <w:lang w:eastAsia="zh-CN"/>
        </w:rPr>
        <w:t>；</w:t>
      </w:r>
      <w:r>
        <w:rPr>
          <w:rFonts w:hint="eastAsia" w:ascii="方正仿宋_GBK" w:hAnsi="方正仿宋_GBK" w:eastAsia="方正仿宋_GBK" w:cs="方正仿宋_GBK"/>
          <w:i w:val="0"/>
          <w:iCs w:val="0"/>
          <w:caps w:val="0"/>
          <w:color w:val="auto"/>
          <w:spacing w:val="0"/>
          <w:sz w:val="32"/>
          <w:szCs w:val="32"/>
          <w:shd w:val="clear" w:color="auto" w:fill="FFFFFF"/>
        </w:rPr>
        <w:t>不符合要求的，不予行政许可，</w:t>
      </w:r>
      <w:r>
        <w:rPr>
          <w:rFonts w:hint="eastAsia" w:ascii="方正仿宋_GBK" w:hAnsi="方正仿宋_GBK" w:eastAsia="方正仿宋_GBK" w:cs="方正仿宋_GBK"/>
          <w:i w:val="0"/>
          <w:iCs w:val="0"/>
          <w:caps w:val="0"/>
          <w:color w:val="auto"/>
          <w:spacing w:val="0"/>
          <w:sz w:val="32"/>
          <w:szCs w:val="32"/>
          <w:shd w:val="clear" w:color="auto" w:fill="FFFFFF"/>
          <w:lang w:eastAsia="zh-CN"/>
        </w:rPr>
        <w:t>并</w:t>
      </w:r>
      <w:r>
        <w:rPr>
          <w:rFonts w:hint="eastAsia" w:ascii="方正仿宋_GBK" w:hAnsi="方正仿宋_GBK" w:eastAsia="方正仿宋_GBK" w:cs="方正仿宋_GBK"/>
          <w:i w:val="0"/>
          <w:iCs w:val="0"/>
          <w:caps w:val="0"/>
          <w:color w:val="auto"/>
          <w:spacing w:val="0"/>
          <w:sz w:val="32"/>
          <w:szCs w:val="32"/>
          <w:shd w:val="clear" w:color="auto" w:fill="FFFFFF"/>
        </w:rPr>
        <w:t>出具《不予行政许可决定书》。</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方正楷体_GBK" w:hAnsi="方正楷体_GBK" w:eastAsia="方正楷体_GBK" w:cs="方正楷体_GBK"/>
          <w:b w:val="0"/>
          <w:bCs w:val="0"/>
          <w:i w:val="0"/>
          <w:iCs w:val="0"/>
          <w:caps w:val="0"/>
          <w:color w:val="auto"/>
          <w:spacing w:val="0"/>
          <w:kern w:val="0"/>
          <w:sz w:val="32"/>
          <w:szCs w:val="32"/>
          <w:shd w:val="clear" w:color="auto" w:fill="FFFFFF"/>
          <w:lang w:val="en-US" w:eastAsia="zh-CN" w:bidi="ar"/>
        </w:rPr>
      </w:pPr>
      <w:r>
        <w:rPr>
          <w:rFonts w:hint="eastAsia" w:ascii="方正楷体_GBK" w:hAnsi="方正楷体_GBK" w:eastAsia="方正楷体_GBK" w:cs="方正楷体_GBK"/>
          <w:b w:val="0"/>
          <w:bCs w:val="0"/>
          <w:i w:val="0"/>
          <w:iCs w:val="0"/>
          <w:caps w:val="0"/>
          <w:color w:val="auto"/>
          <w:spacing w:val="0"/>
          <w:kern w:val="0"/>
          <w:sz w:val="32"/>
          <w:szCs w:val="32"/>
          <w:shd w:val="clear" w:color="auto" w:fill="FFFFFF"/>
          <w:lang w:val="en-US" w:eastAsia="zh-CN" w:bidi="ar"/>
        </w:rPr>
        <w:t>（三）送达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outlineLvl w:val="9"/>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t>省药监局</w:t>
      </w:r>
      <w:r>
        <w:rPr>
          <w:rFonts w:hint="eastAsia" w:ascii="方正仿宋_GBK" w:hAnsi="方正仿宋_GBK" w:eastAsia="方正仿宋_GBK" w:cs="方正仿宋_GBK"/>
          <w:i w:val="0"/>
          <w:iCs w:val="0"/>
          <w:caps w:val="0"/>
          <w:color w:val="auto"/>
          <w:spacing w:val="0"/>
          <w:sz w:val="32"/>
          <w:szCs w:val="32"/>
          <w:shd w:val="clear" w:color="auto" w:fill="FFFFFF"/>
        </w:rPr>
        <w:t>自作出行政许可决定，</w:t>
      </w:r>
      <w:r>
        <w:rPr>
          <w:rFonts w:hint="eastAsia" w:ascii="方正仿宋_GBK" w:hAnsi="方正仿宋_GBK" w:eastAsia="方正仿宋_GBK" w:cs="方正仿宋_GBK"/>
          <w:i w:val="0"/>
          <w:iCs w:val="0"/>
          <w:caps w:val="0"/>
          <w:color w:val="auto"/>
          <w:spacing w:val="0"/>
          <w:sz w:val="32"/>
          <w:szCs w:val="32"/>
          <w:shd w:val="clear" w:color="auto" w:fill="FFFFFF"/>
          <w:lang w:eastAsia="zh-CN"/>
        </w:rPr>
        <w:t>颁发电子证书之日起，即为送达。省药品</w:t>
      </w:r>
      <w: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t>监督管理局电子证书公示平台公开行政许可审批结果，</w:t>
      </w:r>
      <w:r>
        <w:rPr>
          <w:rFonts w:hint="eastAsia" w:ascii="方正仿宋_GBK" w:hAnsi="方正仿宋_GBK" w:eastAsia="方正仿宋_GBK" w:cs="方正仿宋_GBK"/>
          <w:i w:val="0"/>
          <w:iCs w:val="0"/>
          <w:caps w:val="0"/>
          <w:color w:val="auto"/>
          <w:spacing w:val="0"/>
          <w:sz w:val="32"/>
          <w:szCs w:val="32"/>
          <w:shd w:val="clear" w:color="auto" w:fill="FFFFFF"/>
          <w:lang w:eastAsia="zh-CN"/>
        </w:rPr>
        <w:t>申请人可登录</w:t>
      </w:r>
      <w: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t>查看、自行下载和打印证书</w:t>
      </w:r>
      <w:r>
        <w:rPr>
          <w:rFonts w:hint="eastAsia" w:ascii="方正仿宋_GBK" w:hAnsi="方正仿宋_GBK" w:eastAsia="方正仿宋_GBK" w:cs="方正仿宋_GBK"/>
          <w:i w:val="0"/>
          <w:iCs w:val="0"/>
          <w:caps w:val="0"/>
          <w:color w:val="auto"/>
          <w:spacing w:val="0"/>
          <w:sz w:val="32"/>
          <w:szCs w:val="32"/>
          <w:shd w:val="clear" w:color="auto"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hint="eastAsia" w:ascii="方正黑体_GBK" w:hAnsi="方正黑体_GBK" w:eastAsia="方正黑体_GBK" w:cs="方正黑体_GBK"/>
          <w:b w:val="0"/>
          <w:bCs w:val="0"/>
          <w:i w:val="0"/>
          <w:iCs w:val="0"/>
          <w:caps w:val="0"/>
          <w:color w:val="auto"/>
          <w:spacing w:val="0"/>
          <w:sz w:val="32"/>
          <w:szCs w:val="32"/>
          <w:shd w:val="clear" w:color="auto" w:fill="FFFFFF"/>
          <w:lang w:eastAsia="zh-CN"/>
        </w:rPr>
      </w:pPr>
      <w:r>
        <w:rPr>
          <w:rFonts w:hint="eastAsia" w:ascii="方正黑体_GBK" w:hAnsi="方正黑体_GBK" w:eastAsia="方正黑体_GBK" w:cs="方正黑体_GBK"/>
          <w:b w:val="0"/>
          <w:bCs w:val="0"/>
          <w:i w:val="0"/>
          <w:iCs w:val="0"/>
          <w:caps w:val="0"/>
          <w:color w:val="auto"/>
          <w:spacing w:val="0"/>
          <w:sz w:val="32"/>
          <w:szCs w:val="32"/>
          <w:shd w:val="clear" w:color="auto" w:fill="FFFFFF"/>
          <w:lang w:eastAsia="zh-CN"/>
        </w:rPr>
        <w:t>五、其他</w:t>
      </w:r>
    </w:p>
    <w:p>
      <w:r>
        <w:rPr>
          <w:rFonts w:hint="eastAsia" w:ascii="方正仿宋_GBK" w:hAnsi="方正仿宋_GBK" w:eastAsia="方正仿宋_GBK" w:cs="方正仿宋_GBK"/>
          <w:i w:val="0"/>
          <w:iCs w:val="0"/>
          <w:caps w:val="0"/>
          <w:color w:val="auto"/>
          <w:spacing w:val="0"/>
          <w:sz w:val="32"/>
          <w:szCs w:val="32"/>
          <w:shd w:val="clear" w:color="auto" w:fill="FFFFFF"/>
        </w:rPr>
        <w:t>行政许可事项</w:t>
      </w:r>
      <w: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t>如涉及</w:t>
      </w:r>
      <w:r>
        <w:rPr>
          <w:rFonts w:hint="eastAsia" w:ascii="方正仿宋_GBK" w:hAnsi="方正仿宋_GBK" w:eastAsia="方正仿宋_GBK" w:cs="方正仿宋_GBK"/>
          <w:i w:val="0"/>
          <w:iCs w:val="0"/>
          <w:caps w:val="0"/>
          <w:color w:val="auto"/>
          <w:spacing w:val="0"/>
          <w:sz w:val="32"/>
          <w:szCs w:val="32"/>
          <w:shd w:val="clear" w:color="auto" w:fill="FFFFFF"/>
        </w:rPr>
        <w:t>告知承诺制的，其时限和程序按照有关规定办理。</w:t>
      </w:r>
    </w:p>
    <w:sectPr>
      <w:pgSz w:w="11906" w:h="16838"/>
      <w:pgMar w:top="1440" w:right="1474" w:bottom="1440"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lYWUzZTZkMzU2YjE3MzZlNTViY2RhNzI2ODEyZGEifQ=="/>
  </w:docVars>
  <w:rsids>
    <w:rsidRoot w:val="60412637"/>
    <w:rsid w:val="4C4B105C"/>
    <w:rsid w:val="60412637"/>
    <w:rsid w:val="623B5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99"/>
    <w:pPr>
      <w:tabs>
        <w:tab w:val="center" w:pos="4153"/>
        <w:tab w:val="right" w:pos="8306"/>
      </w:tabs>
      <w:snapToGrid w:val="0"/>
      <w:jc w:val="left"/>
    </w:pPr>
    <w:rPr>
      <w:sz w:val="18"/>
      <w:szCs w:val="18"/>
    </w:rPr>
  </w:style>
  <w:style w:type="paragraph" w:styleId="3">
    <w:name w:val="index 5"/>
    <w:basedOn w:val="1"/>
    <w:next w:val="1"/>
    <w:qFormat/>
    <w:uiPriority w:val="0"/>
    <w:pPr>
      <w:ind w:left="1680"/>
    </w:pPr>
  </w:style>
  <w:style w:type="paragraph" w:styleId="4">
    <w:name w:val="toc 3"/>
    <w:basedOn w:val="1"/>
    <w:next w:val="1"/>
    <w:qFormat/>
    <w:uiPriority w:val="0"/>
    <w:pPr>
      <w:ind w:left="840" w:leftChars="400"/>
    </w:p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2023-03-31T01:19:00Z</dcterms:created>
  <dc:creator>陈</dc:creator>
  <cp:lastModifiedBy>陈</cp:lastModifiedBy>
  <dcterms:modified xsi:type="dcterms:W3CDTF">2023-03-31T01:20:00Z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E5DE24ED7E3140ACA2F65B603035DDC8</vt:lpwstr>
  </property>
</Properties>
</file>