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760105">
      <w:pPr>
        <w:jc w:val="both"/>
        <w:rPr>
          <w:rFonts w:hint="default" w:ascii="黑体" w:eastAsia="黑体"/>
          <w:color w:val="auto"/>
          <w:sz w:val="32"/>
          <w:szCs w:val="32"/>
          <w:highlight w:val="none"/>
          <w:lang w:val="en-US" w:eastAsia="zh-CN"/>
        </w:rPr>
      </w:pPr>
      <w:r>
        <w:rPr>
          <w:rFonts w:hint="eastAsia" w:ascii="黑体" w:eastAsia="黑体"/>
          <w:color w:val="auto"/>
          <w:sz w:val="32"/>
          <w:szCs w:val="32"/>
          <w:highlight w:val="none"/>
          <w:lang w:eastAsia="zh-CN"/>
        </w:rPr>
        <w:t>附件</w:t>
      </w:r>
      <w:r>
        <w:rPr>
          <w:rFonts w:hint="eastAsia" w:ascii="黑体" w:eastAsia="黑体"/>
          <w:color w:val="auto"/>
          <w:sz w:val="32"/>
          <w:szCs w:val="32"/>
          <w:highlight w:val="none"/>
          <w:lang w:val="en-US" w:eastAsia="zh-CN"/>
        </w:rPr>
        <w:t>2</w:t>
      </w:r>
    </w:p>
    <w:p w14:paraId="2E0C41B4">
      <w:pPr>
        <w:jc w:val="center"/>
        <w:rPr>
          <w:rFonts w:hint="eastAsia" w:ascii="黑体" w:eastAsia="黑体"/>
          <w:color w:val="auto"/>
          <w:sz w:val="32"/>
          <w:szCs w:val="32"/>
          <w:highlight w:val="none"/>
        </w:rPr>
      </w:pPr>
      <w:r>
        <w:rPr>
          <w:rFonts w:hint="eastAsia" w:ascii="黑体" w:eastAsia="黑体"/>
          <w:color w:val="auto"/>
          <w:sz w:val="32"/>
          <w:szCs w:val="32"/>
          <w:highlight w:val="none"/>
        </w:rPr>
        <w:t>湖北省药品</w:t>
      </w:r>
      <w:r>
        <w:rPr>
          <w:rFonts w:hint="eastAsia" w:ascii="黑体" w:eastAsia="黑体"/>
          <w:color w:val="auto"/>
          <w:sz w:val="32"/>
          <w:szCs w:val="32"/>
          <w:highlight w:val="none"/>
          <w:lang w:eastAsia="zh-CN"/>
        </w:rPr>
        <w:t>零售连锁总部</w:t>
      </w:r>
      <w:r>
        <w:rPr>
          <w:rFonts w:hint="eastAsia" w:ascii="黑体" w:eastAsia="黑体"/>
          <w:color w:val="auto"/>
          <w:sz w:val="32"/>
          <w:szCs w:val="32"/>
          <w:highlight w:val="none"/>
        </w:rPr>
        <w:t>经营活动许可检查细则</w:t>
      </w:r>
    </w:p>
    <w:p w14:paraId="1AE96624">
      <w:pPr>
        <w:pStyle w:val="2"/>
        <w:jc w:val="center"/>
        <w:rPr>
          <w:rFonts w:hint="eastAsia" w:ascii="楷体" w:hAnsi="楷体" w:eastAsia="楷体" w:cs="楷体"/>
          <w:sz w:val="32"/>
          <w:szCs w:val="32"/>
          <w:lang w:eastAsia="zh-CN"/>
        </w:rPr>
      </w:pPr>
      <w:r>
        <w:rPr>
          <w:rFonts w:hint="eastAsia" w:ascii="楷体" w:hAnsi="楷体" w:eastAsia="楷体" w:cs="楷体"/>
          <w:color w:val="auto"/>
          <w:sz w:val="32"/>
          <w:szCs w:val="32"/>
          <w:highlight w:val="none"/>
          <w:lang w:eastAsia="zh-CN"/>
        </w:rPr>
        <w:t>（征求意见稿）</w:t>
      </w:r>
    </w:p>
    <w:p w14:paraId="2ADDCC36">
      <w:pPr>
        <w:ind w:firstLine="640" w:firstLineChars="200"/>
        <w:rPr>
          <w:rFonts w:ascii="黑体" w:eastAsia="黑体"/>
          <w:color w:val="auto"/>
          <w:sz w:val="32"/>
          <w:szCs w:val="32"/>
          <w:highlight w:val="none"/>
        </w:rPr>
      </w:pPr>
    </w:p>
    <w:p w14:paraId="761B7E3E">
      <w:pPr>
        <w:ind w:firstLine="640" w:firstLineChars="200"/>
        <w:rPr>
          <w:rFonts w:hint="eastAsia" w:ascii="黑体" w:eastAsia="黑体"/>
          <w:color w:val="auto"/>
          <w:sz w:val="32"/>
          <w:szCs w:val="32"/>
          <w:highlight w:val="none"/>
          <w:lang w:eastAsia="zh-CN"/>
        </w:rPr>
      </w:pPr>
      <w:r>
        <w:rPr>
          <w:rFonts w:hint="eastAsia" w:ascii="黑体" w:eastAsia="黑体"/>
          <w:color w:val="auto"/>
          <w:sz w:val="32"/>
          <w:szCs w:val="32"/>
          <w:highlight w:val="none"/>
        </w:rPr>
        <w:t>说明</w:t>
      </w:r>
      <w:r>
        <w:rPr>
          <w:rFonts w:hint="eastAsia" w:ascii="黑体" w:eastAsia="黑体"/>
          <w:color w:val="auto"/>
          <w:sz w:val="32"/>
          <w:szCs w:val="32"/>
          <w:highlight w:val="none"/>
          <w:lang w:eastAsia="zh-CN"/>
        </w:rPr>
        <w:t>：</w:t>
      </w:r>
    </w:p>
    <w:p w14:paraId="588E0EB5">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一、为加强药品批发企业许可管理，规范湖北省药品</w:t>
      </w:r>
      <w:r>
        <w:rPr>
          <w:rFonts w:hint="eastAsia" w:ascii="仿宋" w:hAnsi="仿宋" w:eastAsia="仿宋" w:cs="仿宋"/>
          <w:color w:val="auto"/>
          <w:sz w:val="32"/>
          <w:szCs w:val="32"/>
          <w:highlight w:val="none"/>
          <w:lang w:eastAsia="zh-CN"/>
        </w:rPr>
        <w:t>零售连锁总部</w:t>
      </w:r>
      <w:r>
        <w:rPr>
          <w:rFonts w:hint="eastAsia" w:ascii="仿宋" w:hAnsi="仿宋" w:eastAsia="仿宋" w:cs="仿宋"/>
          <w:color w:val="auto"/>
          <w:sz w:val="32"/>
          <w:szCs w:val="32"/>
          <w:highlight w:val="none"/>
        </w:rPr>
        <w:t>许可工作，根据《中华人民共和国药品管理法》《中华人民共和国药品管理法实施条例》《药品经营和使用质量监督管理办法》《药品经营质量管理规范》及《湖北省药品经营和使用质量监督管理实施细则》等法律、法规、规章和规范，结合湖北省实际，制定本检查细则。</w:t>
      </w:r>
    </w:p>
    <w:p w14:paraId="455DDE5A">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二、本检查细则适用于湖北省行政区域内药品</w:t>
      </w:r>
      <w:r>
        <w:rPr>
          <w:rFonts w:hint="eastAsia" w:ascii="仿宋" w:hAnsi="仿宋" w:eastAsia="仿宋" w:cs="仿宋"/>
          <w:color w:val="auto"/>
          <w:sz w:val="32"/>
          <w:szCs w:val="32"/>
          <w:highlight w:val="none"/>
          <w:lang w:eastAsia="zh-CN"/>
        </w:rPr>
        <w:t>零售连锁总部</w:t>
      </w:r>
      <w:r>
        <w:rPr>
          <w:rFonts w:hint="eastAsia" w:ascii="仿宋" w:hAnsi="仿宋" w:eastAsia="仿宋" w:cs="仿宋"/>
          <w:color w:val="auto"/>
          <w:sz w:val="32"/>
          <w:szCs w:val="32"/>
          <w:highlight w:val="none"/>
        </w:rPr>
        <w:t>开办及其他许可行为的申报资料技术审查和现场检查工作。</w:t>
      </w:r>
    </w:p>
    <w:p w14:paraId="014840CE">
      <w:pPr>
        <w:pStyle w:val="10"/>
        <w:widowControl/>
        <w:spacing w:beforeAutospacing="0" w:afterAutospacing="0" w:line="560" w:lineRule="exact"/>
        <w:ind w:firstLine="640" w:firstLineChars="200"/>
        <w:jc w:val="both"/>
        <w:textAlignment w:val="baseline"/>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三、开办</w:t>
      </w:r>
      <w:r>
        <w:rPr>
          <w:rFonts w:hint="eastAsia" w:ascii="仿宋" w:hAnsi="仿宋" w:eastAsia="仿宋" w:cs="仿宋"/>
          <w:color w:val="auto"/>
          <w:sz w:val="32"/>
          <w:szCs w:val="32"/>
          <w:highlight w:val="none"/>
          <w:lang w:eastAsia="zh-CN"/>
        </w:rPr>
        <w:t>零售连锁总部</w:t>
      </w:r>
      <w:r>
        <w:rPr>
          <w:rFonts w:hint="eastAsia" w:ascii="仿宋" w:hAnsi="仿宋" w:eastAsia="仿宋" w:cs="仿宋"/>
          <w:color w:val="auto"/>
          <w:sz w:val="32"/>
          <w:szCs w:val="32"/>
          <w:highlight w:val="none"/>
        </w:rPr>
        <w:t>应当依据本检查细则及企业申请经营范围进行检查、验收。增加经营范围应当依据本检查细则检查经营范围所涉相关条目。</w:t>
      </w:r>
    </w:p>
    <w:p w14:paraId="37633A8B">
      <w:pPr>
        <w:pStyle w:val="10"/>
        <w:widowControl/>
        <w:spacing w:beforeAutospacing="0" w:afterAutospacing="0" w:line="560" w:lineRule="exact"/>
        <w:ind w:firstLine="640" w:firstLineChars="200"/>
        <w:jc w:val="both"/>
        <w:textAlignment w:val="baseline"/>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四、委托药品储存的药品零售连锁总部，应当检查接受药品委托储存企业设施与设备、校准与验证等内容</w:t>
      </w:r>
      <w:r>
        <w:rPr>
          <w:rFonts w:hint="eastAsia" w:ascii="仿宋" w:hAnsi="仿宋" w:eastAsia="仿宋" w:cs="仿宋"/>
          <w:color w:val="auto"/>
          <w:sz w:val="32"/>
          <w:szCs w:val="32"/>
          <w:highlight w:val="none"/>
          <w:lang w:val="en-US" w:eastAsia="zh-CN"/>
        </w:rPr>
        <w:t>。</w:t>
      </w:r>
    </w:p>
    <w:p w14:paraId="16284675">
      <w:pPr>
        <w:pStyle w:val="10"/>
        <w:widowControl/>
        <w:spacing w:beforeAutospacing="0" w:afterAutospacing="0" w:line="560" w:lineRule="exact"/>
        <w:ind w:firstLine="640" w:firstLineChars="200"/>
        <w:jc w:val="both"/>
        <w:textAlignment w:val="baseline"/>
        <w:rPr>
          <w:rFonts w:ascii="黑体" w:eastAsia="黑体"/>
          <w:color w:val="auto"/>
          <w:sz w:val="32"/>
          <w:szCs w:val="32"/>
          <w:highlight w:val="none"/>
        </w:rPr>
      </w:pPr>
      <w:r>
        <w:rPr>
          <w:rFonts w:ascii="黑体" w:eastAsia="黑体"/>
          <w:color w:val="auto"/>
          <w:sz w:val="32"/>
          <w:szCs w:val="32"/>
          <w:highlight w:val="none"/>
        </w:rPr>
        <w:br w:type="page"/>
      </w:r>
    </w:p>
    <w:p w14:paraId="1E53FEC8">
      <w:pPr>
        <w:rPr>
          <w:rFonts w:hint="eastAsia" w:eastAsia="宋体"/>
          <w:lang w:eastAsia="zh-CN"/>
        </w:rPr>
      </w:pPr>
      <w:r>
        <w:rPr>
          <w:rFonts w:hint="eastAsia" w:ascii="黑体" w:eastAsia="黑体"/>
          <w:color w:val="auto"/>
          <w:sz w:val="32"/>
          <w:szCs w:val="32"/>
          <w:highlight w:val="none"/>
          <w:lang w:eastAsia="zh-CN"/>
        </w:rPr>
        <w:t>基础条件（含中成药、化学药、生物制品经营范围）</w:t>
      </w:r>
    </w:p>
    <w:p w14:paraId="3097FFEA">
      <w:pPr>
        <w:pStyle w:val="2"/>
        <w:rPr>
          <w:color w:val="auto"/>
          <w:highlight w:val="none"/>
        </w:rPr>
      </w:pPr>
    </w:p>
    <w:tbl>
      <w:tblPr>
        <w:tblStyle w:val="11"/>
        <w:tblW w:w="14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552"/>
        <w:gridCol w:w="1127"/>
        <w:gridCol w:w="4918"/>
        <w:gridCol w:w="7140"/>
      </w:tblGrid>
      <w:tr w14:paraId="4B64F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619" w:type="dxa"/>
            <w:vAlign w:val="center"/>
          </w:tcPr>
          <w:p w14:paraId="55BB1FF6">
            <w:pPr>
              <w:keepNext w:val="0"/>
              <w:keepLines w:val="0"/>
              <w:pageBreakBefore w:val="0"/>
              <w:kinsoku/>
              <w:wordWrap/>
              <w:overflowPunct/>
              <w:topLinePunct w:val="0"/>
              <w:autoSpaceDE w:val="0"/>
              <w:autoSpaceDN w:val="0"/>
              <w:bidi w:val="0"/>
              <w:adjustRightInd/>
              <w:spacing w:line="320" w:lineRule="exact"/>
              <w:textAlignment w:val="auto"/>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序号</w:t>
            </w:r>
          </w:p>
        </w:tc>
        <w:tc>
          <w:tcPr>
            <w:tcW w:w="1679" w:type="dxa"/>
            <w:gridSpan w:val="2"/>
            <w:vAlign w:val="center"/>
          </w:tcPr>
          <w:p w14:paraId="0D7AB8CA">
            <w:pPr>
              <w:keepNext w:val="0"/>
              <w:keepLines w:val="0"/>
              <w:pageBreakBefore w:val="0"/>
              <w:kinsoku/>
              <w:wordWrap/>
              <w:overflowPunct/>
              <w:topLinePunct w:val="0"/>
              <w:autoSpaceDE w:val="0"/>
              <w:autoSpaceDN w:val="0"/>
              <w:bidi w:val="0"/>
              <w:adjustRightInd/>
              <w:spacing w:line="320" w:lineRule="exact"/>
              <w:jc w:val="center"/>
              <w:textAlignment w:val="auto"/>
              <w:rPr>
                <w:rFonts w:hint="eastAsia" w:ascii="黑体" w:hAnsi="黑体" w:eastAsia="黑体" w:cs="黑体"/>
                <w:b w:val="0"/>
                <w:bCs w:val="0"/>
                <w:color w:val="auto"/>
                <w:sz w:val="24"/>
                <w:szCs w:val="24"/>
                <w:highlight w:val="none"/>
                <w:lang w:eastAsia="zh-CN"/>
              </w:rPr>
            </w:pPr>
            <w:r>
              <w:rPr>
                <w:rFonts w:hint="eastAsia" w:ascii="黑体" w:hAnsi="黑体" w:eastAsia="黑体" w:cs="黑体"/>
                <w:b w:val="0"/>
                <w:bCs w:val="0"/>
                <w:color w:val="auto"/>
                <w:sz w:val="24"/>
                <w:szCs w:val="24"/>
                <w:highlight w:val="none"/>
                <w:lang w:eastAsia="zh-CN"/>
              </w:rPr>
              <w:t>内容</w:t>
            </w:r>
          </w:p>
          <w:p w14:paraId="3AD2206A">
            <w:pPr>
              <w:pStyle w:val="2"/>
              <w:keepNext w:val="0"/>
              <w:keepLines w:val="0"/>
              <w:pageBreakBefore w:val="0"/>
              <w:kinsoku/>
              <w:wordWrap/>
              <w:overflowPunct/>
              <w:topLinePunct w:val="0"/>
              <w:bidi w:val="0"/>
              <w:adjustRightInd/>
              <w:spacing w:line="320" w:lineRule="exact"/>
              <w:jc w:val="center"/>
              <w:textAlignment w:val="auto"/>
              <w:rPr>
                <w:rFonts w:hint="eastAsia"/>
                <w:color w:val="auto"/>
                <w:sz w:val="24"/>
                <w:szCs w:val="24"/>
                <w:highlight w:val="none"/>
                <w:lang w:eastAsia="zh-CN"/>
              </w:rPr>
            </w:pPr>
            <w:r>
              <w:rPr>
                <w:rFonts w:hint="eastAsia" w:ascii="黑体" w:hAnsi="黑体" w:eastAsia="黑体" w:cs="黑体"/>
                <w:b w:val="0"/>
                <w:bCs w:val="0"/>
                <w:color w:val="auto"/>
                <w:sz w:val="24"/>
                <w:szCs w:val="24"/>
                <w:highlight w:val="none"/>
                <w:lang w:eastAsia="zh-CN"/>
              </w:rPr>
              <w:t>（条款号）</w:t>
            </w:r>
          </w:p>
        </w:tc>
        <w:tc>
          <w:tcPr>
            <w:tcW w:w="4918" w:type="dxa"/>
            <w:vAlign w:val="center"/>
          </w:tcPr>
          <w:p w14:paraId="1912D452">
            <w:pPr>
              <w:keepNext w:val="0"/>
              <w:keepLines w:val="0"/>
              <w:pageBreakBefore w:val="0"/>
              <w:kinsoku/>
              <w:wordWrap/>
              <w:overflowPunct/>
              <w:topLinePunct w:val="0"/>
              <w:autoSpaceDE w:val="0"/>
              <w:autoSpaceDN w:val="0"/>
              <w:bidi w:val="0"/>
              <w:adjustRightInd/>
              <w:spacing w:line="320" w:lineRule="exact"/>
              <w:jc w:val="center"/>
              <w:textAlignment w:val="auto"/>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检查项目</w:t>
            </w:r>
          </w:p>
        </w:tc>
        <w:tc>
          <w:tcPr>
            <w:tcW w:w="7140" w:type="dxa"/>
            <w:vAlign w:val="center"/>
          </w:tcPr>
          <w:p w14:paraId="4F164CB0">
            <w:pPr>
              <w:keepNext w:val="0"/>
              <w:keepLines w:val="0"/>
              <w:pageBreakBefore w:val="0"/>
              <w:kinsoku/>
              <w:wordWrap/>
              <w:overflowPunct/>
              <w:topLinePunct w:val="0"/>
              <w:autoSpaceDE w:val="0"/>
              <w:autoSpaceDN w:val="0"/>
              <w:bidi w:val="0"/>
              <w:adjustRightInd/>
              <w:spacing w:line="320" w:lineRule="exact"/>
              <w:jc w:val="center"/>
              <w:textAlignment w:val="auto"/>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检查细则</w:t>
            </w:r>
          </w:p>
        </w:tc>
      </w:tr>
      <w:tr w14:paraId="4ADB3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356" w:type="dxa"/>
            <w:gridSpan w:val="5"/>
            <w:vAlign w:val="center"/>
          </w:tcPr>
          <w:p w14:paraId="35EAFCB7">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楷体" w:hAnsi="楷体" w:eastAsia="楷体" w:cs="楷体"/>
                <w:b w:val="0"/>
                <w:bCs/>
                <w:color w:val="auto"/>
                <w:sz w:val="24"/>
                <w:szCs w:val="24"/>
                <w:highlight w:val="none"/>
              </w:rPr>
              <w:t>第一部分</w:t>
            </w:r>
            <w:r>
              <w:rPr>
                <w:rFonts w:hint="eastAsia" w:ascii="楷体" w:hAnsi="楷体" w:eastAsia="楷体" w:cs="楷体"/>
                <w:b w:val="0"/>
                <w:bCs/>
                <w:color w:val="auto"/>
                <w:sz w:val="24"/>
                <w:szCs w:val="24"/>
                <w:highlight w:val="none"/>
                <w:lang w:val="en-US" w:eastAsia="zh-CN"/>
              </w:rPr>
              <w:t>　</w:t>
            </w:r>
            <w:r>
              <w:rPr>
                <w:rFonts w:hint="eastAsia" w:ascii="楷体" w:hAnsi="楷体" w:eastAsia="楷体" w:cs="楷体"/>
                <w:b w:val="0"/>
                <w:bCs/>
                <w:color w:val="auto"/>
                <w:sz w:val="24"/>
                <w:szCs w:val="24"/>
                <w:highlight w:val="none"/>
              </w:rPr>
              <w:t>药品</w:t>
            </w:r>
            <w:r>
              <w:rPr>
                <w:rFonts w:hint="eastAsia" w:ascii="楷体" w:hAnsi="楷体" w:eastAsia="楷体" w:cs="楷体"/>
                <w:b w:val="0"/>
                <w:bCs/>
                <w:color w:val="auto"/>
                <w:kern w:val="0"/>
                <w:sz w:val="24"/>
                <w:szCs w:val="24"/>
                <w:highlight w:val="none"/>
                <w:lang w:bidi="ar"/>
              </w:rPr>
              <w:t>法律法规合规性</w:t>
            </w:r>
          </w:p>
        </w:tc>
      </w:tr>
      <w:tr w14:paraId="351B9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vAlign w:val="center"/>
          </w:tcPr>
          <w:p w14:paraId="3F8B2AA9">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679" w:type="dxa"/>
            <w:gridSpan w:val="2"/>
            <w:vMerge w:val="restart"/>
            <w:vAlign w:val="center"/>
          </w:tcPr>
          <w:p w14:paraId="3BD5340B">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合规性审核</w:t>
            </w:r>
          </w:p>
        </w:tc>
        <w:tc>
          <w:tcPr>
            <w:tcW w:w="4918" w:type="dxa"/>
            <w:vAlign w:val="center"/>
          </w:tcPr>
          <w:p w14:paraId="167B7CFE">
            <w:pPr>
              <w:pStyle w:val="10"/>
              <w:keepNext w:val="0"/>
              <w:keepLines w:val="0"/>
              <w:pageBreakBefore w:val="0"/>
              <w:widowControl/>
              <w:shd w:val="clear" w:color="auto" w:fill="FFFFFF"/>
              <w:kinsoku/>
              <w:wordWrap/>
              <w:overflowPunct/>
              <w:topLinePunct w:val="0"/>
              <w:bidi w:val="0"/>
              <w:adjustRightInd/>
              <w:spacing w:beforeAutospacing="0" w:afterAutospacing="0" w:line="32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rPr>
              <w:t>有与其经营范围相适应的质量管理机构和人员；企业法定代表人、主要负责人、质量负责人、质量管理部门负责人等符合规定的条件</w:t>
            </w:r>
            <w:r>
              <w:rPr>
                <w:rFonts w:hint="eastAsia" w:ascii="宋体" w:hAnsi="宋体" w:eastAsia="宋体" w:cs="宋体"/>
                <w:color w:val="auto"/>
                <w:kern w:val="2"/>
                <w:sz w:val="24"/>
                <w:szCs w:val="24"/>
                <w:highlight w:val="none"/>
                <w:lang w:eastAsia="zh-CN"/>
              </w:rPr>
              <w:t>。</w:t>
            </w:r>
          </w:p>
        </w:tc>
        <w:tc>
          <w:tcPr>
            <w:tcW w:w="7140" w:type="dxa"/>
            <w:vAlign w:val="center"/>
          </w:tcPr>
          <w:p w14:paraId="128B9573">
            <w:pPr>
              <w:pStyle w:val="10"/>
              <w:keepNext w:val="0"/>
              <w:keepLines w:val="0"/>
              <w:pageBreakBefore w:val="0"/>
              <w:widowControl/>
              <w:shd w:val="clear" w:color="auto" w:fill="FFFFFF"/>
              <w:kinsoku/>
              <w:wordWrap/>
              <w:overflowPunct/>
              <w:topLinePunct w:val="0"/>
              <w:bidi w:val="0"/>
              <w:adjustRightInd/>
              <w:spacing w:beforeAutospacing="0" w:afterAutospacing="0" w:line="32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rPr>
              <w:t>查阅是否有与其经营范围相适应的质量管理机构和人员；企业法定代表人、主要负责人、质量负责人、质量管理部门负责人等是否符合规定的条件</w:t>
            </w:r>
            <w:r>
              <w:rPr>
                <w:rFonts w:hint="eastAsia" w:ascii="宋体" w:hAnsi="宋体" w:eastAsia="宋体" w:cs="宋体"/>
                <w:color w:val="auto"/>
                <w:kern w:val="2"/>
                <w:sz w:val="24"/>
                <w:szCs w:val="24"/>
                <w:highlight w:val="none"/>
                <w:lang w:eastAsia="zh-CN"/>
              </w:rPr>
              <w:t>。</w:t>
            </w:r>
          </w:p>
        </w:tc>
      </w:tr>
      <w:tr w14:paraId="7A7F8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vAlign w:val="center"/>
          </w:tcPr>
          <w:p w14:paraId="433CF35F">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679" w:type="dxa"/>
            <w:gridSpan w:val="2"/>
            <w:vMerge w:val="continue"/>
            <w:vAlign w:val="center"/>
          </w:tcPr>
          <w:p w14:paraId="747E622D">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4918" w:type="dxa"/>
            <w:vAlign w:val="center"/>
          </w:tcPr>
          <w:p w14:paraId="1D33FD6E">
            <w:pPr>
              <w:pStyle w:val="10"/>
              <w:keepNext w:val="0"/>
              <w:keepLines w:val="0"/>
              <w:pageBreakBefore w:val="0"/>
              <w:widowControl/>
              <w:shd w:val="clear" w:color="auto" w:fill="FFFFFF"/>
              <w:kinsoku/>
              <w:wordWrap/>
              <w:overflowPunct/>
              <w:topLinePunct w:val="0"/>
              <w:bidi w:val="0"/>
              <w:adjustRightInd/>
              <w:spacing w:beforeAutospacing="0" w:afterAutospacing="0" w:line="320" w:lineRule="exact"/>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有依法经过资格认定的药师或者其他药学技术人员</w:t>
            </w:r>
            <w:r>
              <w:rPr>
                <w:rFonts w:hint="eastAsia" w:ascii="宋体" w:hAnsi="宋体" w:eastAsia="宋体" w:cs="宋体"/>
                <w:color w:val="auto"/>
                <w:kern w:val="2"/>
                <w:sz w:val="24"/>
                <w:szCs w:val="24"/>
                <w:highlight w:val="none"/>
                <w:lang w:eastAsia="zh-CN"/>
              </w:rPr>
              <w:t>。</w:t>
            </w:r>
          </w:p>
        </w:tc>
        <w:tc>
          <w:tcPr>
            <w:tcW w:w="7140" w:type="dxa"/>
            <w:vAlign w:val="center"/>
          </w:tcPr>
          <w:p w14:paraId="36EFF153">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rPr>
              <w:t>查阅是否有依法经过资格认定的药师或者其他药学技术人员</w:t>
            </w:r>
            <w:r>
              <w:rPr>
                <w:rFonts w:hint="eastAsia" w:ascii="宋体" w:hAnsi="宋体" w:eastAsia="宋体" w:cs="宋体"/>
                <w:color w:val="auto"/>
                <w:kern w:val="2"/>
                <w:sz w:val="24"/>
                <w:szCs w:val="24"/>
                <w:highlight w:val="none"/>
                <w:lang w:eastAsia="zh-CN"/>
              </w:rPr>
              <w:t>。</w:t>
            </w:r>
          </w:p>
        </w:tc>
      </w:tr>
      <w:tr w14:paraId="41CA4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vAlign w:val="center"/>
          </w:tcPr>
          <w:p w14:paraId="6DE6C534">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679" w:type="dxa"/>
            <w:gridSpan w:val="2"/>
            <w:vMerge w:val="continue"/>
            <w:vAlign w:val="center"/>
          </w:tcPr>
          <w:p w14:paraId="17A1C771">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4918" w:type="dxa"/>
            <w:vAlign w:val="center"/>
          </w:tcPr>
          <w:p w14:paraId="4C0F32D1">
            <w:pPr>
              <w:pStyle w:val="10"/>
              <w:keepNext w:val="0"/>
              <w:keepLines w:val="0"/>
              <w:pageBreakBefore w:val="0"/>
              <w:widowControl/>
              <w:shd w:val="clear" w:color="auto" w:fill="FFFFFF"/>
              <w:kinsoku/>
              <w:wordWrap/>
              <w:overflowPunct/>
              <w:topLinePunct w:val="0"/>
              <w:bidi w:val="0"/>
              <w:adjustRightInd/>
              <w:spacing w:beforeAutospacing="0" w:afterAutospacing="0" w:line="320" w:lineRule="exact"/>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有保证药品质量的质量管理制度以及覆盖药品经营、质量控制和追溯全过程的信息管理系统，并符合药品经营质量管理规范要求。</w:t>
            </w:r>
          </w:p>
        </w:tc>
        <w:tc>
          <w:tcPr>
            <w:tcW w:w="7140" w:type="dxa"/>
            <w:vAlign w:val="center"/>
          </w:tcPr>
          <w:p w14:paraId="20C74338">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查阅是否有保证药品质量的质量管理制度以及覆盖药品经营、质量控制和追溯全过程的信息管理系统，是否符合药品经营质量管理规范要求。</w:t>
            </w:r>
          </w:p>
        </w:tc>
      </w:tr>
      <w:tr w14:paraId="67B67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619" w:type="dxa"/>
            <w:vAlign w:val="center"/>
          </w:tcPr>
          <w:p w14:paraId="474BE223">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679" w:type="dxa"/>
            <w:gridSpan w:val="2"/>
            <w:vMerge w:val="continue"/>
            <w:vAlign w:val="center"/>
          </w:tcPr>
          <w:p w14:paraId="46FAD942">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4918" w:type="dxa"/>
            <w:vAlign w:val="center"/>
          </w:tcPr>
          <w:p w14:paraId="04B76870">
            <w:pPr>
              <w:pStyle w:val="10"/>
              <w:keepNext w:val="0"/>
              <w:keepLines w:val="0"/>
              <w:pageBreakBefore w:val="0"/>
              <w:widowControl/>
              <w:shd w:val="clear" w:color="auto" w:fill="FFFFFF"/>
              <w:kinsoku/>
              <w:wordWrap/>
              <w:overflowPunct/>
              <w:topLinePunct w:val="0"/>
              <w:bidi w:val="0"/>
              <w:adjustRightInd/>
              <w:spacing w:beforeAutospacing="0" w:afterAutospacing="0" w:line="320" w:lineRule="exact"/>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具备能够保证药品质量、与其经营品种和规模相适应的仓库、配送场所和设施设备。</w:t>
            </w:r>
          </w:p>
        </w:tc>
        <w:tc>
          <w:tcPr>
            <w:tcW w:w="7140" w:type="dxa"/>
            <w:vAlign w:val="center"/>
          </w:tcPr>
          <w:p w14:paraId="47617E1E">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查阅是否具备能够保证药品质量、与其经营品种和规模相适应的仓库、配送场所和设施设备。</w:t>
            </w:r>
          </w:p>
        </w:tc>
      </w:tr>
      <w:tr w14:paraId="6A43E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619" w:type="dxa"/>
            <w:vAlign w:val="center"/>
          </w:tcPr>
          <w:p w14:paraId="3160237F">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lang w:val="en-US" w:eastAsia="zh-CN"/>
              </w:rPr>
            </w:pPr>
          </w:p>
        </w:tc>
        <w:tc>
          <w:tcPr>
            <w:tcW w:w="1679" w:type="dxa"/>
            <w:gridSpan w:val="2"/>
            <w:vMerge w:val="continue"/>
            <w:vAlign w:val="center"/>
          </w:tcPr>
          <w:p w14:paraId="485DF9A7">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4918" w:type="dxa"/>
            <w:vAlign w:val="center"/>
          </w:tcPr>
          <w:p w14:paraId="7EF2499B">
            <w:pPr>
              <w:pStyle w:val="10"/>
              <w:keepNext w:val="0"/>
              <w:keepLines w:val="0"/>
              <w:pageBreakBefore w:val="0"/>
              <w:widowControl/>
              <w:shd w:val="clear" w:color="auto" w:fill="FFFFFF"/>
              <w:kinsoku/>
              <w:wordWrap/>
              <w:overflowPunct/>
              <w:topLinePunct w:val="0"/>
              <w:bidi w:val="0"/>
              <w:adjustRightInd/>
              <w:spacing w:beforeAutospacing="0" w:afterAutospacing="0" w:line="320" w:lineRule="exact"/>
              <w:jc w:val="both"/>
              <w:textAlignment w:val="auto"/>
              <w:rPr>
                <w:rFonts w:hint="default"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eastAsia="zh-CN"/>
              </w:rPr>
              <w:t>在湖北省行政区域内具有不少于</w:t>
            </w:r>
            <w:r>
              <w:rPr>
                <w:rFonts w:hint="eastAsia" w:ascii="宋体" w:hAnsi="宋体" w:cs="宋体"/>
                <w:color w:val="auto"/>
                <w:kern w:val="2"/>
                <w:sz w:val="24"/>
                <w:szCs w:val="24"/>
                <w:highlight w:val="none"/>
                <w:lang w:val="en-US" w:eastAsia="zh-CN"/>
              </w:rPr>
              <w:t>10家自行开办的药品零售门店。</w:t>
            </w:r>
          </w:p>
        </w:tc>
        <w:tc>
          <w:tcPr>
            <w:tcW w:w="7140" w:type="dxa"/>
            <w:vAlign w:val="center"/>
          </w:tcPr>
          <w:p w14:paraId="41CE2485">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查阅是否在湖北省行政区域内具有不少于10家自行开办的药品</w:t>
            </w:r>
            <w:r>
              <w:rPr>
                <w:rFonts w:hint="eastAsia" w:ascii="宋体" w:hAnsi="宋体" w:cs="宋体"/>
                <w:color w:val="auto"/>
                <w:sz w:val="24"/>
                <w:szCs w:val="24"/>
                <w:highlight w:val="none"/>
                <w:lang w:eastAsia="zh-CN"/>
              </w:rPr>
              <w:t>零售连锁</w:t>
            </w:r>
            <w:r>
              <w:rPr>
                <w:rFonts w:hint="eastAsia" w:ascii="宋体" w:hAnsi="宋体" w:eastAsia="宋体" w:cs="宋体"/>
                <w:color w:val="auto"/>
                <w:sz w:val="24"/>
                <w:szCs w:val="24"/>
                <w:highlight w:val="none"/>
              </w:rPr>
              <w:t>门店。</w:t>
            </w:r>
          </w:p>
        </w:tc>
      </w:tr>
      <w:tr w14:paraId="6E129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56" w:type="dxa"/>
            <w:gridSpan w:val="5"/>
            <w:vAlign w:val="center"/>
          </w:tcPr>
          <w:p w14:paraId="2D6E3759">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楷体" w:cs="宋体"/>
                <w:color w:val="auto"/>
                <w:sz w:val="24"/>
                <w:szCs w:val="24"/>
                <w:highlight w:val="none"/>
                <w:lang w:eastAsia="zh-CN"/>
              </w:rPr>
            </w:pPr>
            <w:r>
              <w:rPr>
                <w:rFonts w:hint="eastAsia" w:ascii="楷体" w:hAnsi="楷体" w:eastAsia="楷体" w:cs="楷体"/>
                <w:b w:val="0"/>
                <w:bCs/>
                <w:color w:val="auto"/>
                <w:sz w:val="24"/>
                <w:szCs w:val="24"/>
                <w:highlight w:val="none"/>
              </w:rPr>
              <w:t>第二部分</w:t>
            </w:r>
            <w:r>
              <w:rPr>
                <w:rFonts w:hint="eastAsia" w:ascii="楷体" w:hAnsi="楷体" w:eastAsia="楷体" w:cs="楷体"/>
                <w:b w:val="0"/>
                <w:bCs/>
                <w:color w:val="auto"/>
                <w:sz w:val="24"/>
                <w:szCs w:val="24"/>
                <w:highlight w:val="none"/>
                <w:lang w:eastAsia="zh-CN"/>
              </w:rPr>
              <w:t>　</w:t>
            </w:r>
            <w:r>
              <w:rPr>
                <w:rFonts w:hint="eastAsia" w:ascii="楷体" w:hAnsi="楷体" w:eastAsia="楷体" w:cs="楷体"/>
                <w:b w:val="0"/>
                <w:bCs/>
                <w:color w:val="auto"/>
                <w:sz w:val="24"/>
                <w:szCs w:val="24"/>
                <w:highlight w:val="none"/>
              </w:rPr>
              <w:t>药品经营质量管理规范</w:t>
            </w:r>
            <w:r>
              <w:rPr>
                <w:rFonts w:hint="eastAsia" w:ascii="楷体" w:hAnsi="楷体" w:eastAsia="楷体" w:cs="楷体"/>
                <w:b w:val="0"/>
                <w:bCs/>
                <w:color w:val="auto"/>
                <w:sz w:val="24"/>
                <w:szCs w:val="24"/>
                <w:highlight w:val="none"/>
                <w:lang w:eastAsia="zh-CN"/>
              </w:rPr>
              <w:t>符合性</w:t>
            </w:r>
          </w:p>
        </w:tc>
      </w:tr>
      <w:tr w14:paraId="1A5B1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9" w:type="dxa"/>
            <w:vAlign w:val="center"/>
          </w:tcPr>
          <w:p w14:paraId="41CBE5EA">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552" w:type="dxa"/>
            <w:vMerge w:val="restart"/>
            <w:vAlign w:val="center"/>
          </w:tcPr>
          <w:p w14:paraId="281D975C">
            <w:pPr>
              <w:keepNext w:val="0"/>
              <w:keepLines w:val="0"/>
              <w:pageBreakBefore w:val="0"/>
              <w:kinsoku/>
              <w:wordWrap/>
              <w:overflowPunct/>
              <w:topLinePunct w:val="0"/>
              <w:autoSpaceDE w:val="0"/>
              <w:autoSpaceDN w:val="0"/>
              <w:bidi w:val="0"/>
              <w:adjustRightIn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w:t>
            </w:r>
          </w:p>
          <w:p w14:paraId="6E9D2005">
            <w:pPr>
              <w:keepNext w:val="0"/>
              <w:keepLines w:val="0"/>
              <w:pageBreakBefore w:val="0"/>
              <w:kinsoku/>
              <w:wordWrap/>
              <w:overflowPunct/>
              <w:topLinePunct w:val="0"/>
              <w:autoSpaceDE w:val="0"/>
              <w:autoSpaceDN w:val="0"/>
              <w:bidi w:val="0"/>
              <w:adjustRightIn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则</w:t>
            </w:r>
          </w:p>
        </w:tc>
        <w:tc>
          <w:tcPr>
            <w:tcW w:w="1127" w:type="dxa"/>
            <w:vAlign w:val="center"/>
          </w:tcPr>
          <w:p w14:paraId="398C4DD7">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**00201</w:t>
            </w:r>
          </w:p>
        </w:tc>
        <w:tc>
          <w:tcPr>
            <w:tcW w:w="4918" w:type="dxa"/>
            <w:vAlign w:val="center"/>
          </w:tcPr>
          <w:p w14:paraId="78323487">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企业应当在药品采购、储存、销售、运输等环节采取有效的质量控制措施，确保药品质量，并按照国家有关要求建立药品追溯系统，实现药品可追溯。</w:t>
            </w:r>
          </w:p>
        </w:tc>
        <w:tc>
          <w:tcPr>
            <w:tcW w:w="7140" w:type="dxa"/>
            <w:vAlign w:val="center"/>
          </w:tcPr>
          <w:p w14:paraId="696340F8">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查阅企业是否根据国家药品监督管理部门制定药品信息化追溯要求</w:t>
            </w:r>
            <w:r>
              <w:rPr>
                <w:rFonts w:hint="eastAsia" w:ascii="宋体" w:hAnsi="宋体" w:cs="宋体"/>
                <w:color w:val="auto"/>
                <w:sz w:val="24"/>
                <w:szCs w:val="24"/>
                <w:highlight w:val="none"/>
                <w:lang w:eastAsia="zh-CN"/>
              </w:rPr>
              <w:t>。</w:t>
            </w:r>
          </w:p>
        </w:tc>
      </w:tr>
      <w:tr w14:paraId="630D9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9" w:type="dxa"/>
            <w:vAlign w:val="center"/>
          </w:tcPr>
          <w:p w14:paraId="4FB144BA">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552" w:type="dxa"/>
            <w:vMerge w:val="continue"/>
            <w:vAlign w:val="center"/>
          </w:tcPr>
          <w:p w14:paraId="290C13D4">
            <w:pPr>
              <w:keepNext w:val="0"/>
              <w:keepLines w:val="0"/>
              <w:pageBreakBefore w:val="0"/>
              <w:kinsoku/>
              <w:wordWrap/>
              <w:overflowPunct/>
              <w:topLinePunct w:val="0"/>
              <w:autoSpaceDE w:val="0"/>
              <w:autoSpaceDN w:val="0"/>
              <w:bidi w:val="0"/>
              <w:adjustRightInd/>
              <w:spacing w:line="320" w:lineRule="exact"/>
              <w:jc w:val="center"/>
              <w:textAlignment w:val="auto"/>
              <w:rPr>
                <w:rFonts w:hint="eastAsia" w:ascii="宋体" w:hAnsi="宋体" w:eastAsia="宋体" w:cs="宋体"/>
                <w:color w:val="auto"/>
                <w:sz w:val="24"/>
                <w:szCs w:val="24"/>
                <w:highlight w:val="none"/>
              </w:rPr>
            </w:pPr>
          </w:p>
        </w:tc>
        <w:tc>
          <w:tcPr>
            <w:tcW w:w="1127" w:type="dxa"/>
            <w:vAlign w:val="center"/>
          </w:tcPr>
          <w:p w14:paraId="5F2ED056">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**00401</w:t>
            </w:r>
          </w:p>
        </w:tc>
        <w:tc>
          <w:tcPr>
            <w:tcW w:w="4918" w:type="dxa"/>
            <w:vAlign w:val="center"/>
          </w:tcPr>
          <w:p w14:paraId="73F647F9">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药品经营企业应当依法经营。</w:t>
            </w:r>
          </w:p>
        </w:tc>
        <w:tc>
          <w:tcPr>
            <w:tcW w:w="7140" w:type="dxa"/>
            <w:vAlign w:val="center"/>
          </w:tcPr>
          <w:p w14:paraId="17F1BB1C">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检查企业是否按照《药品管理法》等相关法律法规合法合规经营。</w:t>
            </w:r>
          </w:p>
        </w:tc>
      </w:tr>
      <w:tr w14:paraId="46C47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619" w:type="dxa"/>
            <w:vAlign w:val="center"/>
          </w:tcPr>
          <w:p w14:paraId="765D9725">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552" w:type="dxa"/>
            <w:vMerge w:val="continue"/>
            <w:vAlign w:val="center"/>
          </w:tcPr>
          <w:p w14:paraId="4C59C54D">
            <w:pPr>
              <w:keepNext w:val="0"/>
              <w:keepLines w:val="0"/>
              <w:pageBreakBefore w:val="0"/>
              <w:kinsoku/>
              <w:wordWrap/>
              <w:overflowPunct/>
              <w:topLinePunct w:val="0"/>
              <w:autoSpaceDE w:val="0"/>
              <w:autoSpaceDN w:val="0"/>
              <w:bidi w:val="0"/>
              <w:adjustRightInd/>
              <w:spacing w:line="320" w:lineRule="exact"/>
              <w:jc w:val="center"/>
              <w:textAlignment w:val="auto"/>
              <w:rPr>
                <w:rFonts w:hint="eastAsia" w:ascii="宋体" w:hAnsi="宋体" w:eastAsia="宋体" w:cs="宋体"/>
                <w:color w:val="auto"/>
                <w:sz w:val="24"/>
                <w:szCs w:val="24"/>
                <w:highlight w:val="none"/>
              </w:rPr>
            </w:pPr>
          </w:p>
        </w:tc>
        <w:tc>
          <w:tcPr>
            <w:tcW w:w="1127" w:type="dxa"/>
            <w:vAlign w:val="center"/>
          </w:tcPr>
          <w:p w14:paraId="0D7F9BA5">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**00402</w:t>
            </w:r>
          </w:p>
        </w:tc>
        <w:tc>
          <w:tcPr>
            <w:tcW w:w="4918" w:type="dxa"/>
            <w:vAlign w:val="center"/>
          </w:tcPr>
          <w:p w14:paraId="6D3BAF2E">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药品经营企业应当坚持诚实守信，禁止任何虚假、欺骗行为。</w:t>
            </w:r>
          </w:p>
        </w:tc>
        <w:tc>
          <w:tcPr>
            <w:tcW w:w="7140" w:type="dxa"/>
            <w:vAlign w:val="center"/>
          </w:tcPr>
          <w:p w14:paraId="04496C5B">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eastAsia="宋体" w:cs="宋体"/>
                <w:color w:val="auto"/>
                <w:sz w:val="24"/>
                <w:szCs w:val="24"/>
                <w:highlight w:val="none"/>
              </w:rPr>
              <w:t>企业应当诚实守信，不得伪造、销毁、隐匿记录、数据、信息等相关资料。</w:t>
            </w:r>
          </w:p>
          <w:p w14:paraId="46F57507">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企业应当保证记录完整、真实，经营行为可追溯，不得篡改计算机系统经营数据及温湿度监测系统数据、相关票据记录等。</w:t>
            </w:r>
          </w:p>
        </w:tc>
      </w:tr>
      <w:tr w14:paraId="2DFBC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vAlign w:val="center"/>
          </w:tcPr>
          <w:p w14:paraId="47DD227E">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552" w:type="dxa"/>
            <w:vMerge w:val="restart"/>
            <w:vAlign w:val="center"/>
          </w:tcPr>
          <w:p w14:paraId="2AD3A870">
            <w:pPr>
              <w:keepNext w:val="0"/>
              <w:keepLines w:val="0"/>
              <w:pageBreakBefore w:val="0"/>
              <w:kinsoku/>
              <w:wordWrap/>
              <w:overflowPunct/>
              <w:topLinePunct w:val="0"/>
              <w:autoSpaceDE w:val="0"/>
              <w:autoSpaceDN w:val="0"/>
              <w:bidi w:val="0"/>
              <w:adjustRightInd/>
              <w:spacing w:line="320" w:lineRule="exact"/>
              <w:jc w:val="center"/>
              <w:textAlignment w:val="auto"/>
              <w:rPr>
                <w:rFonts w:hint="eastAsia" w:ascii="宋体" w:hAnsi="宋体" w:eastAsia="宋体" w:cs="宋体"/>
                <w:color w:val="auto"/>
                <w:sz w:val="24"/>
                <w:szCs w:val="24"/>
                <w:highlight w:val="none"/>
              </w:rPr>
            </w:pPr>
          </w:p>
          <w:p w14:paraId="23C1371D">
            <w:pPr>
              <w:keepNext w:val="0"/>
              <w:keepLines w:val="0"/>
              <w:pageBreakBefore w:val="0"/>
              <w:kinsoku/>
              <w:wordWrap/>
              <w:overflowPunct/>
              <w:topLinePunct w:val="0"/>
              <w:autoSpaceDE w:val="0"/>
              <w:autoSpaceDN w:val="0"/>
              <w:bidi w:val="0"/>
              <w:adjustRightInd/>
              <w:spacing w:line="320" w:lineRule="exact"/>
              <w:jc w:val="center"/>
              <w:textAlignment w:val="auto"/>
              <w:rPr>
                <w:rFonts w:hint="eastAsia" w:ascii="宋体" w:hAnsi="宋体" w:eastAsia="宋体" w:cs="宋体"/>
                <w:color w:val="auto"/>
                <w:sz w:val="24"/>
                <w:szCs w:val="24"/>
                <w:highlight w:val="none"/>
              </w:rPr>
            </w:pPr>
          </w:p>
          <w:p w14:paraId="37ACCA22">
            <w:pPr>
              <w:keepNext w:val="0"/>
              <w:keepLines w:val="0"/>
              <w:pageBreakBefore w:val="0"/>
              <w:kinsoku/>
              <w:wordWrap/>
              <w:overflowPunct/>
              <w:topLinePunct w:val="0"/>
              <w:autoSpaceDE w:val="0"/>
              <w:autoSpaceDN w:val="0"/>
              <w:bidi w:val="0"/>
              <w:adjustRightInd/>
              <w:spacing w:line="320" w:lineRule="exact"/>
              <w:jc w:val="center"/>
              <w:textAlignment w:val="auto"/>
              <w:rPr>
                <w:rFonts w:hint="eastAsia" w:ascii="宋体" w:hAnsi="宋体" w:eastAsia="宋体" w:cs="宋体"/>
                <w:color w:val="auto"/>
                <w:sz w:val="24"/>
                <w:szCs w:val="24"/>
                <w:highlight w:val="none"/>
              </w:rPr>
            </w:pPr>
          </w:p>
          <w:p w14:paraId="2DE352B7">
            <w:pPr>
              <w:keepNext w:val="0"/>
              <w:keepLines w:val="0"/>
              <w:pageBreakBefore w:val="0"/>
              <w:kinsoku/>
              <w:wordWrap/>
              <w:overflowPunct/>
              <w:topLinePunct w:val="0"/>
              <w:autoSpaceDE w:val="0"/>
              <w:autoSpaceDN w:val="0"/>
              <w:bidi w:val="0"/>
              <w:adjustRightInd/>
              <w:spacing w:line="320" w:lineRule="exact"/>
              <w:jc w:val="center"/>
              <w:textAlignment w:val="auto"/>
              <w:rPr>
                <w:rFonts w:hint="eastAsia" w:ascii="宋体" w:hAnsi="宋体" w:eastAsia="宋体" w:cs="宋体"/>
                <w:color w:val="auto"/>
                <w:sz w:val="24"/>
                <w:szCs w:val="24"/>
                <w:highlight w:val="none"/>
              </w:rPr>
            </w:pPr>
          </w:p>
          <w:p w14:paraId="709DDDB9">
            <w:pPr>
              <w:keepNext w:val="0"/>
              <w:keepLines w:val="0"/>
              <w:pageBreakBefore w:val="0"/>
              <w:kinsoku/>
              <w:wordWrap/>
              <w:overflowPunct/>
              <w:topLinePunct w:val="0"/>
              <w:autoSpaceDE w:val="0"/>
              <w:autoSpaceDN w:val="0"/>
              <w:bidi w:val="0"/>
              <w:adjustRightInd/>
              <w:spacing w:line="320" w:lineRule="exact"/>
              <w:jc w:val="center"/>
              <w:textAlignment w:val="auto"/>
              <w:rPr>
                <w:rFonts w:hint="eastAsia" w:ascii="宋体" w:hAnsi="宋体" w:eastAsia="宋体" w:cs="宋体"/>
                <w:color w:val="auto"/>
                <w:sz w:val="24"/>
                <w:szCs w:val="24"/>
                <w:highlight w:val="none"/>
              </w:rPr>
            </w:pPr>
          </w:p>
          <w:p w14:paraId="5BF4FF35">
            <w:pPr>
              <w:keepNext w:val="0"/>
              <w:keepLines w:val="0"/>
              <w:pageBreakBefore w:val="0"/>
              <w:kinsoku/>
              <w:wordWrap/>
              <w:overflowPunct/>
              <w:topLinePunct w:val="0"/>
              <w:autoSpaceDE w:val="0"/>
              <w:autoSpaceDN w:val="0"/>
              <w:bidi w:val="0"/>
              <w:adjustRightInd/>
              <w:spacing w:line="320" w:lineRule="exact"/>
              <w:jc w:val="center"/>
              <w:textAlignment w:val="auto"/>
              <w:rPr>
                <w:rFonts w:hint="eastAsia" w:ascii="宋体" w:hAnsi="宋体" w:eastAsia="宋体" w:cs="宋体"/>
                <w:color w:val="auto"/>
                <w:sz w:val="24"/>
                <w:szCs w:val="24"/>
                <w:highlight w:val="none"/>
              </w:rPr>
            </w:pPr>
          </w:p>
          <w:p w14:paraId="4D73F4E5">
            <w:pPr>
              <w:keepNext w:val="0"/>
              <w:keepLines w:val="0"/>
              <w:pageBreakBefore w:val="0"/>
              <w:kinsoku/>
              <w:wordWrap/>
              <w:overflowPunct/>
              <w:topLinePunct w:val="0"/>
              <w:autoSpaceDE w:val="0"/>
              <w:autoSpaceDN w:val="0"/>
              <w:bidi w:val="0"/>
              <w:adjustRightInd/>
              <w:spacing w:line="320" w:lineRule="exact"/>
              <w:jc w:val="center"/>
              <w:textAlignment w:val="auto"/>
              <w:rPr>
                <w:rFonts w:hint="eastAsia" w:ascii="宋体" w:hAnsi="宋体" w:eastAsia="宋体" w:cs="宋体"/>
                <w:color w:val="auto"/>
                <w:sz w:val="24"/>
                <w:szCs w:val="24"/>
                <w:highlight w:val="none"/>
              </w:rPr>
            </w:pPr>
          </w:p>
          <w:p w14:paraId="46DE6C63">
            <w:pPr>
              <w:keepNext w:val="0"/>
              <w:keepLines w:val="0"/>
              <w:pageBreakBefore w:val="0"/>
              <w:kinsoku/>
              <w:wordWrap/>
              <w:overflowPunct/>
              <w:topLinePunct w:val="0"/>
              <w:autoSpaceDE w:val="0"/>
              <w:autoSpaceDN w:val="0"/>
              <w:bidi w:val="0"/>
              <w:adjustRightInd/>
              <w:spacing w:line="320" w:lineRule="exact"/>
              <w:jc w:val="center"/>
              <w:textAlignment w:val="auto"/>
              <w:rPr>
                <w:rFonts w:hint="eastAsia" w:ascii="宋体" w:hAnsi="宋体" w:eastAsia="宋体" w:cs="宋体"/>
                <w:color w:val="auto"/>
                <w:sz w:val="24"/>
                <w:szCs w:val="24"/>
                <w:highlight w:val="none"/>
              </w:rPr>
            </w:pPr>
          </w:p>
          <w:p w14:paraId="7E3D0AA9">
            <w:pPr>
              <w:keepNext w:val="0"/>
              <w:keepLines w:val="0"/>
              <w:pageBreakBefore w:val="0"/>
              <w:kinsoku/>
              <w:wordWrap/>
              <w:overflowPunct/>
              <w:topLinePunct w:val="0"/>
              <w:autoSpaceDE w:val="0"/>
              <w:autoSpaceDN w:val="0"/>
              <w:bidi w:val="0"/>
              <w:adjustRightInd/>
              <w:spacing w:line="320" w:lineRule="exact"/>
              <w:jc w:val="center"/>
              <w:textAlignment w:val="auto"/>
              <w:rPr>
                <w:rFonts w:hint="eastAsia" w:ascii="宋体" w:hAnsi="宋体" w:eastAsia="宋体" w:cs="宋体"/>
                <w:color w:val="auto"/>
                <w:sz w:val="24"/>
                <w:szCs w:val="24"/>
                <w:highlight w:val="none"/>
              </w:rPr>
            </w:pPr>
          </w:p>
          <w:p w14:paraId="42CBC1E6">
            <w:pPr>
              <w:keepNext w:val="0"/>
              <w:keepLines w:val="0"/>
              <w:pageBreakBefore w:val="0"/>
              <w:kinsoku/>
              <w:wordWrap/>
              <w:overflowPunct/>
              <w:topLinePunct w:val="0"/>
              <w:autoSpaceDE w:val="0"/>
              <w:autoSpaceDN w:val="0"/>
              <w:bidi w:val="0"/>
              <w:adjustRightInd/>
              <w:spacing w:line="320" w:lineRule="exact"/>
              <w:jc w:val="center"/>
              <w:textAlignment w:val="auto"/>
              <w:rPr>
                <w:rFonts w:hint="eastAsia" w:ascii="宋体" w:hAnsi="宋体" w:eastAsia="宋体" w:cs="宋体"/>
                <w:color w:val="auto"/>
                <w:sz w:val="24"/>
                <w:szCs w:val="24"/>
                <w:highlight w:val="none"/>
              </w:rPr>
            </w:pPr>
          </w:p>
          <w:p w14:paraId="2ACD4F84">
            <w:pPr>
              <w:keepNext w:val="0"/>
              <w:keepLines w:val="0"/>
              <w:pageBreakBefore w:val="0"/>
              <w:kinsoku/>
              <w:wordWrap/>
              <w:overflowPunct/>
              <w:topLinePunct w:val="0"/>
              <w:autoSpaceDE w:val="0"/>
              <w:autoSpaceDN w:val="0"/>
              <w:bidi w:val="0"/>
              <w:adjustRightInd/>
              <w:spacing w:line="320" w:lineRule="exact"/>
              <w:jc w:val="center"/>
              <w:textAlignment w:val="auto"/>
              <w:rPr>
                <w:rFonts w:hint="eastAsia" w:ascii="宋体" w:hAnsi="宋体" w:eastAsia="宋体" w:cs="宋体"/>
                <w:color w:val="auto"/>
                <w:sz w:val="24"/>
                <w:szCs w:val="24"/>
                <w:highlight w:val="none"/>
              </w:rPr>
            </w:pPr>
          </w:p>
          <w:p w14:paraId="18BEE06C">
            <w:pPr>
              <w:keepNext w:val="0"/>
              <w:keepLines w:val="0"/>
              <w:pageBreakBefore w:val="0"/>
              <w:kinsoku/>
              <w:wordWrap/>
              <w:overflowPunct/>
              <w:topLinePunct w:val="0"/>
              <w:autoSpaceDE w:val="0"/>
              <w:autoSpaceDN w:val="0"/>
              <w:bidi w:val="0"/>
              <w:adjustRightInd/>
              <w:spacing w:line="320" w:lineRule="exact"/>
              <w:jc w:val="center"/>
              <w:textAlignment w:val="auto"/>
              <w:rPr>
                <w:rFonts w:hint="eastAsia" w:ascii="宋体" w:hAnsi="宋体" w:eastAsia="宋体" w:cs="宋体"/>
                <w:color w:val="auto"/>
                <w:sz w:val="24"/>
                <w:szCs w:val="24"/>
                <w:highlight w:val="none"/>
              </w:rPr>
            </w:pPr>
          </w:p>
          <w:p w14:paraId="1EE9C91B">
            <w:pPr>
              <w:keepNext w:val="0"/>
              <w:keepLines w:val="0"/>
              <w:pageBreakBefore w:val="0"/>
              <w:kinsoku/>
              <w:wordWrap/>
              <w:overflowPunct/>
              <w:topLinePunct w:val="0"/>
              <w:autoSpaceDE w:val="0"/>
              <w:autoSpaceDN w:val="0"/>
              <w:bidi w:val="0"/>
              <w:adjustRightInd/>
              <w:spacing w:line="320" w:lineRule="exact"/>
              <w:jc w:val="center"/>
              <w:textAlignment w:val="auto"/>
              <w:rPr>
                <w:rFonts w:hint="eastAsia" w:ascii="宋体" w:hAnsi="宋体" w:eastAsia="宋体" w:cs="宋体"/>
                <w:color w:val="auto"/>
                <w:sz w:val="24"/>
                <w:szCs w:val="24"/>
                <w:highlight w:val="none"/>
              </w:rPr>
            </w:pPr>
          </w:p>
          <w:p w14:paraId="1FC4EDBC">
            <w:pPr>
              <w:keepNext w:val="0"/>
              <w:keepLines w:val="0"/>
              <w:pageBreakBefore w:val="0"/>
              <w:kinsoku/>
              <w:wordWrap/>
              <w:overflowPunct/>
              <w:topLinePunct w:val="0"/>
              <w:autoSpaceDE w:val="0"/>
              <w:autoSpaceDN w:val="0"/>
              <w:bidi w:val="0"/>
              <w:adjustRightIn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w:t>
            </w:r>
          </w:p>
          <w:p w14:paraId="7CF7DFA8">
            <w:pPr>
              <w:keepNext w:val="0"/>
              <w:keepLines w:val="0"/>
              <w:pageBreakBefore w:val="0"/>
              <w:kinsoku/>
              <w:wordWrap/>
              <w:overflowPunct/>
              <w:topLinePunct w:val="0"/>
              <w:autoSpaceDE w:val="0"/>
              <w:autoSpaceDN w:val="0"/>
              <w:bidi w:val="0"/>
              <w:adjustRightIn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量</w:t>
            </w:r>
          </w:p>
          <w:p w14:paraId="6E288502">
            <w:pPr>
              <w:keepNext w:val="0"/>
              <w:keepLines w:val="0"/>
              <w:pageBreakBefore w:val="0"/>
              <w:kinsoku/>
              <w:wordWrap/>
              <w:overflowPunct/>
              <w:topLinePunct w:val="0"/>
              <w:autoSpaceDE w:val="0"/>
              <w:autoSpaceDN w:val="0"/>
              <w:bidi w:val="0"/>
              <w:adjustRightIn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w:t>
            </w:r>
          </w:p>
          <w:p w14:paraId="094651F5">
            <w:pPr>
              <w:keepNext w:val="0"/>
              <w:keepLines w:val="0"/>
              <w:pageBreakBefore w:val="0"/>
              <w:kinsoku/>
              <w:wordWrap/>
              <w:overflowPunct/>
              <w:topLinePunct w:val="0"/>
              <w:autoSpaceDE w:val="0"/>
              <w:autoSpaceDN w:val="0"/>
              <w:bidi w:val="0"/>
              <w:adjustRightIn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理</w:t>
            </w:r>
          </w:p>
          <w:p w14:paraId="6E9035D1">
            <w:pPr>
              <w:keepNext w:val="0"/>
              <w:keepLines w:val="0"/>
              <w:pageBreakBefore w:val="0"/>
              <w:kinsoku/>
              <w:wordWrap/>
              <w:overflowPunct/>
              <w:topLinePunct w:val="0"/>
              <w:autoSpaceDE w:val="0"/>
              <w:autoSpaceDN w:val="0"/>
              <w:bidi w:val="0"/>
              <w:adjustRightIn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体</w:t>
            </w:r>
          </w:p>
          <w:p w14:paraId="0B8D0FD0">
            <w:pPr>
              <w:keepNext w:val="0"/>
              <w:keepLines w:val="0"/>
              <w:pageBreakBefore w:val="0"/>
              <w:kinsoku/>
              <w:wordWrap/>
              <w:overflowPunct/>
              <w:topLinePunct w:val="0"/>
              <w:autoSpaceDE w:val="0"/>
              <w:autoSpaceDN w:val="0"/>
              <w:bidi w:val="0"/>
              <w:adjustRightIn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p>
        </w:tc>
        <w:tc>
          <w:tcPr>
            <w:tcW w:w="1127" w:type="dxa"/>
            <w:vAlign w:val="center"/>
          </w:tcPr>
          <w:p w14:paraId="36B0F976">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*00501</w:t>
            </w:r>
          </w:p>
        </w:tc>
        <w:tc>
          <w:tcPr>
            <w:tcW w:w="4918" w:type="dxa"/>
            <w:vAlign w:val="center"/>
          </w:tcPr>
          <w:p w14:paraId="18162775">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企业应当依据有关法律法规及《药品经营质量管理规范》（以下简称《规范》）的要求建立质量管理体系。</w:t>
            </w:r>
          </w:p>
        </w:tc>
        <w:tc>
          <w:tcPr>
            <w:tcW w:w="7140" w:type="dxa"/>
            <w:vAlign w:val="center"/>
          </w:tcPr>
          <w:p w14:paraId="4A06E99E">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检查企业是否建立质量管理体系，体系是否与企业经营范围及经营规模相适应。</w:t>
            </w:r>
          </w:p>
        </w:tc>
      </w:tr>
      <w:tr w14:paraId="1DA16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vAlign w:val="center"/>
          </w:tcPr>
          <w:p w14:paraId="21F794EB">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552" w:type="dxa"/>
            <w:vMerge w:val="continue"/>
            <w:vAlign w:val="center"/>
          </w:tcPr>
          <w:p w14:paraId="0F753C80">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25184BBB">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00502</w:t>
            </w:r>
          </w:p>
        </w:tc>
        <w:tc>
          <w:tcPr>
            <w:tcW w:w="4918" w:type="dxa"/>
            <w:vAlign w:val="center"/>
          </w:tcPr>
          <w:p w14:paraId="7925D4F4">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企业应当确定质量方针。</w:t>
            </w:r>
          </w:p>
        </w:tc>
        <w:tc>
          <w:tcPr>
            <w:tcW w:w="7140" w:type="dxa"/>
            <w:vAlign w:val="center"/>
          </w:tcPr>
          <w:p w14:paraId="37BD2B26">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eastAsia="宋体" w:cs="宋体"/>
                <w:color w:val="auto"/>
                <w:sz w:val="24"/>
                <w:szCs w:val="24"/>
                <w:highlight w:val="none"/>
              </w:rPr>
              <w:t>查阅企业是否制定了质量方针，并以正式文件形式发布，签发人至少应当是主要负责人。</w:t>
            </w:r>
          </w:p>
          <w:p w14:paraId="1477A4C4">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询问企业的主要负责人是否能够完整解释质量方针内容，包括方针表述、作用、贯彻实施、监督落实等。</w:t>
            </w:r>
          </w:p>
        </w:tc>
      </w:tr>
      <w:tr w14:paraId="25A89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19" w:type="dxa"/>
            <w:vAlign w:val="center"/>
          </w:tcPr>
          <w:p w14:paraId="0B835B83">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552" w:type="dxa"/>
            <w:vMerge w:val="continue"/>
            <w:vAlign w:val="center"/>
          </w:tcPr>
          <w:p w14:paraId="1E9F099E">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014A8847">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00503</w:t>
            </w:r>
          </w:p>
        </w:tc>
        <w:tc>
          <w:tcPr>
            <w:tcW w:w="4918" w:type="dxa"/>
            <w:vAlign w:val="center"/>
          </w:tcPr>
          <w:p w14:paraId="3F7A3275">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企业应当制定质量管理体系文件，开展质量策划、质量控制、质量保证、质量改进和质量风险管理等活动。</w:t>
            </w:r>
          </w:p>
        </w:tc>
        <w:tc>
          <w:tcPr>
            <w:tcW w:w="7140" w:type="dxa"/>
            <w:vAlign w:val="center"/>
          </w:tcPr>
          <w:p w14:paraId="7A0550B5">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eastAsia="宋体" w:cs="宋体"/>
                <w:color w:val="auto"/>
                <w:sz w:val="24"/>
                <w:szCs w:val="24"/>
                <w:highlight w:val="none"/>
              </w:rPr>
              <w:t>查阅企业是否制定质量管理体系文件，文件应当包括管理制度、操作规程、岗位职责及相关记录表格等。</w:t>
            </w:r>
          </w:p>
          <w:p w14:paraId="5B28A052">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查阅企业是否开展质量策划、质量控制、质量保证、质量改进和质量风险管理等活动，活动应当符合药品相关法律法规规定，并留存有相应记录。</w:t>
            </w:r>
          </w:p>
        </w:tc>
      </w:tr>
      <w:tr w14:paraId="7344E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vAlign w:val="center"/>
          </w:tcPr>
          <w:p w14:paraId="37DB7E55">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552" w:type="dxa"/>
            <w:vMerge w:val="continue"/>
            <w:vAlign w:val="center"/>
          </w:tcPr>
          <w:p w14:paraId="0501B825">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20A9C759">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*00601</w:t>
            </w:r>
          </w:p>
        </w:tc>
        <w:tc>
          <w:tcPr>
            <w:tcW w:w="4918" w:type="dxa"/>
            <w:vAlign w:val="center"/>
          </w:tcPr>
          <w:p w14:paraId="5FB2CCCF">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企业制定的质量方针文件应当明确企业总的质量目标和要求，并贯彻到药品经营活动的全过程。</w:t>
            </w:r>
          </w:p>
        </w:tc>
        <w:tc>
          <w:tcPr>
            <w:tcW w:w="7140" w:type="dxa"/>
            <w:vAlign w:val="center"/>
          </w:tcPr>
          <w:p w14:paraId="3BB615C9">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eastAsia="宋体" w:cs="宋体"/>
                <w:color w:val="auto"/>
                <w:sz w:val="24"/>
                <w:szCs w:val="24"/>
                <w:highlight w:val="none"/>
              </w:rPr>
              <w:t>查阅企业制定的“质量方针”是否明确企业总的质量目标。</w:t>
            </w:r>
          </w:p>
          <w:p w14:paraId="18798E72">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查阅总的质量目标分解应当与组织机构设置相对应，分解落实到各部门各岗位，质量目标应当具体、量化、可操作。</w:t>
            </w:r>
          </w:p>
        </w:tc>
      </w:tr>
      <w:tr w14:paraId="3194C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19" w:type="dxa"/>
            <w:vAlign w:val="center"/>
          </w:tcPr>
          <w:p w14:paraId="3E629069">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552" w:type="dxa"/>
            <w:vMerge w:val="continue"/>
            <w:vAlign w:val="center"/>
          </w:tcPr>
          <w:p w14:paraId="53FF7749">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29B66E4A">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*00701</w:t>
            </w:r>
          </w:p>
        </w:tc>
        <w:tc>
          <w:tcPr>
            <w:tcW w:w="4918" w:type="dxa"/>
            <w:vAlign w:val="center"/>
          </w:tcPr>
          <w:p w14:paraId="733EB3CB">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企业质量管理体系应当与其经营范围和规模相适应,包括组织机构、人员、设施设备、质量管理体系文件及相应的计算机系统等。</w:t>
            </w:r>
          </w:p>
        </w:tc>
        <w:tc>
          <w:tcPr>
            <w:tcW w:w="7140" w:type="dxa"/>
            <w:vAlign w:val="center"/>
          </w:tcPr>
          <w:p w14:paraId="0F7F43C7">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color w:val="auto"/>
                <w:highlight w:val="none"/>
                <w:lang w:eastAsia="zh-CN"/>
              </w:rPr>
              <w:t>现场逐个核实企业的</w:t>
            </w:r>
            <w:r>
              <w:rPr>
                <w:rFonts w:hint="eastAsia" w:ascii="宋体" w:hAnsi="宋体" w:eastAsia="宋体" w:cs="宋体"/>
                <w:color w:val="auto"/>
                <w:sz w:val="24"/>
                <w:szCs w:val="24"/>
                <w:highlight w:val="none"/>
              </w:rPr>
              <w:t>组织机构、人员、设施设备、质量管理体系文件及相应计算机系统</w:t>
            </w:r>
            <w:r>
              <w:rPr>
                <w:rFonts w:hint="eastAsia" w:ascii="宋体" w:hAnsi="宋体" w:cs="宋体"/>
                <w:color w:val="auto"/>
                <w:sz w:val="24"/>
                <w:szCs w:val="24"/>
                <w:highlight w:val="none"/>
                <w:lang w:eastAsia="zh-CN"/>
              </w:rPr>
              <w:t>是否达到本细则相应模块的基本要求。</w:t>
            </w:r>
          </w:p>
        </w:tc>
      </w:tr>
      <w:tr w14:paraId="6F730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vAlign w:val="center"/>
          </w:tcPr>
          <w:p w14:paraId="2670148E">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552" w:type="dxa"/>
            <w:vMerge w:val="continue"/>
            <w:vAlign w:val="center"/>
          </w:tcPr>
          <w:p w14:paraId="03FD1437">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0E66ADAB">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*00801</w:t>
            </w:r>
          </w:p>
        </w:tc>
        <w:tc>
          <w:tcPr>
            <w:tcW w:w="4918" w:type="dxa"/>
            <w:vAlign w:val="center"/>
          </w:tcPr>
          <w:p w14:paraId="561FFCA0">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企业应当定期开展质量管理体系内审。</w:t>
            </w:r>
          </w:p>
        </w:tc>
        <w:tc>
          <w:tcPr>
            <w:tcW w:w="7140" w:type="dxa"/>
            <w:vAlign w:val="center"/>
          </w:tcPr>
          <w:p w14:paraId="57CBD206">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eastAsia="宋体" w:cs="宋体"/>
                <w:color w:val="auto"/>
                <w:sz w:val="24"/>
                <w:szCs w:val="24"/>
                <w:highlight w:val="none"/>
              </w:rPr>
              <w:t>查阅企业是否以正式文件形式明确质量管理体系内审领导小组。</w:t>
            </w:r>
          </w:p>
          <w:p w14:paraId="29D2F3CC">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查阅企业内审制度是否要求每年度至少开展一次全面内审。</w:t>
            </w:r>
          </w:p>
          <w:p w14:paraId="7A9776E0">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3.</w:t>
            </w:r>
            <w:r>
              <w:rPr>
                <w:rFonts w:hint="eastAsia" w:ascii="宋体" w:hAnsi="宋体" w:eastAsia="宋体" w:cs="宋体"/>
                <w:color w:val="auto"/>
                <w:sz w:val="24"/>
                <w:szCs w:val="24"/>
                <w:highlight w:val="none"/>
              </w:rPr>
              <w:t>查阅企业相关内审档案记录中是否包括内审计划、方案、内审依据、标准、报告、缺陷内容及整改落实情况等内容。</w:t>
            </w:r>
          </w:p>
        </w:tc>
      </w:tr>
      <w:tr w14:paraId="3EA13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19" w:type="dxa"/>
            <w:vAlign w:val="center"/>
          </w:tcPr>
          <w:p w14:paraId="4D568CC6">
            <w:pPr>
              <w:keepNext w:val="0"/>
              <w:keepLines w:val="0"/>
              <w:pageBreakBefore w:val="0"/>
              <w:kinsoku/>
              <w:wordWrap/>
              <w:overflowPunct/>
              <w:topLinePunct w:val="0"/>
              <w:autoSpaceDE w:val="0"/>
              <w:autoSpaceDN w:val="0"/>
              <w:bidi w:val="0"/>
              <w:adjustRightInd/>
              <w:spacing w:line="32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552" w:type="dxa"/>
            <w:vMerge w:val="continue"/>
            <w:vAlign w:val="center"/>
          </w:tcPr>
          <w:p w14:paraId="02E17876">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0C49E692">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*00802</w:t>
            </w:r>
          </w:p>
        </w:tc>
        <w:tc>
          <w:tcPr>
            <w:tcW w:w="4918" w:type="dxa"/>
            <w:vAlign w:val="center"/>
          </w:tcPr>
          <w:p w14:paraId="09C156BB">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企业应当在质量管理体系关键要素发生重大变化时，组织开展内审。</w:t>
            </w:r>
          </w:p>
        </w:tc>
        <w:tc>
          <w:tcPr>
            <w:tcW w:w="7140" w:type="dxa"/>
            <w:vAlign w:val="center"/>
          </w:tcPr>
          <w:p w14:paraId="1740CDA8">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eastAsia="宋体" w:cs="宋体"/>
                <w:color w:val="auto"/>
                <w:sz w:val="24"/>
                <w:szCs w:val="24"/>
                <w:highlight w:val="none"/>
              </w:rPr>
              <w:t>查阅企业</w:t>
            </w:r>
            <w:r>
              <w:rPr>
                <w:rFonts w:hint="eastAsia" w:ascii="宋体" w:hAnsi="宋体" w:eastAsia="宋体" w:cs="宋体"/>
                <w:color w:val="auto"/>
                <w:sz w:val="24"/>
                <w:szCs w:val="24"/>
                <w:highlight w:val="none"/>
                <w:lang w:eastAsia="zh-CN"/>
              </w:rPr>
              <w:t>体系文件</w:t>
            </w:r>
            <w:r>
              <w:rPr>
                <w:rFonts w:hint="eastAsia" w:ascii="宋体" w:hAnsi="宋体" w:eastAsia="宋体" w:cs="宋体"/>
                <w:color w:val="auto"/>
                <w:sz w:val="24"/>
                <w:szCs w:val="24"/>
                <w:highlight w:val="none"/>
              </w:rPr>
              <w:t>明确在质量管理体系关键要素发生重大变化时，组织开展专项内审，至少应当包括当机构调整、关键人员更新、设备更换、工作流程发生改变，或因药品质量原因而发生重大质量事故，并造成严重后果的，或因服务质量出现重大问题或顾客投诉、新闻曝光，造成不良影响的。</w:t>
            </w: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专项内审是否在“重大变化”发生前及时进行。</w:t>
            </w:r>
          </w:p>
        </w:tc>
      </w:tr>
      <w:tr w14:paraId="22CD2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vAlign w:val="center"/>
          </w:tcPr>
          <w:p w14:paraId="7CE3062A">
            <w:pPr>
              <w:keepNext w:val="0"/>
              <w:keepLines w:val="0"/>
              <w:pageBreakBefore w:val="0"/>
              <w:kinsoku/>
              <w:wordWrap/>
              <w:overflowPunct/>
              <w:topLinePunct w:val="0"/>
              <w:autoSpaceDE w:val="0"/>
              <w:autoSpaceDN w:val="0"/>
              <w:bidi w:val="0"/>
              <w:adjustRightInd/>
              <w:spacing w:line="32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552" w:type="dxa"/>
            <w:vMerge w:val="continue"/>
            <w:vAlign w:val="center"/>
          </w:tcPr>
          <w:p w14:paraId="3F56DD85">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1A7A48C9">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*00901</w:t>
            </w:r>
          </w:p>
        </w:tc>
        <w:tc>
          <w:tcPr>
            <w:tcW w:w="4918" w:type="dxa"/>
            <w:vAlign w:val="center"/>
          </w:tcPr>
          <w:p w14:paraId="1604FE55">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企业应当对内审的情况进行分析，依据分析结论制定相应的质量管理体系改进措施，不断提高质量控制水平，保证质量管理体系持续有效运行。</w:t>
            </w:r>
          </w:p>
        </w:tc>
        <w:tc>
          <w:tcPr>
            <w:tcW w:w="7140" w:type="dxa"/>
            <w:vAlign w:val="center"/>
          </w:tcPr>
          <w:p w14:paraId="3AD5E7EF">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eastAsia="宋体" w:cs="宋体"/>
                <w:color w:val="auto"/>
                <w:sz w:val="24"/>
                <w:szCs w:val="24"/>
                <w:highlight w:val="none"/>
              </w:rPr>
              <w:t>检查企业是否对内审结果进行分析，根据分析结果制定相应的质量管理体系改进措施，并有相关记录。</w:t>
            </w:r>
          </w:p>
        </w:tc>
      </w:tr>
      <w:tr w14:paraId="78C3F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vAlign w:val="center"/>
          </w:tcPr>
          <w:p w14:paraId="54705B43">
            <w:pPr>
              <w:keepNext w:val="0"/>
              <w:keepLines w:val="0"/>
              <w:pageBreakBefore w:val="0"/>
              <w:kinsoku/>
              <w:wordWrap/>
              <w:overflowPunct/>
              <w:topLinePunct w:val="0"/>
              <w:autoSpaceDE w:val="0"/>
              <w:autoSpaceDN w:val="0"/>
              <w:bidi w:val="0"/>
              <w:adjustRightInd/>
              <w:spacing w:line="32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552" w:type="dxa"/>
            <w:vMerge w:val="continue"/>
            <w:vAlign w:val="center"/>
          </w:tcPr>
          <w:p w14:paraId="5874F1AF">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328A65D5">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01001</w:t>
            </w:r>
          </w:p>
        </w:tc>
        <w:tc>
          <w:tcPr>
            <w:tcW w:w="4918" w:type="dxa"/>
            <w:vAlign w:val="center"/>
          </w:tcPr>
          <w:p w14:paraId="19CB4AC7">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企业应当采用前瞻或者回顾的方式，对药品流通过程中的质量风险进行评估、控制、沟通和审核。</w:t>
            </w:r>
          </w:p>
        </w:tc>
        <w:tc>
          <w:tcPr>
            <w:tcW w:w="7140" w:type="dxa"/>
            <w:vAlign w:val="center"/>
          </w:tcPr>
          <w:p w14:paraId="3440D3E9">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eastAsia="宋体" w:cs="宋体"/>
                <w:color w:val="auto"/>
                <w:sz w:val="24"/>
                <w:szCs w:val="24"/>
                <w:highlight w:val="none"/>
              </w:rPr>
              <w:t>查阅企业质量风险管理有关规定是否明确质量风险评估方式（通过前瞻的方式对风险进行预判分析，通过回顾的方式对发生过的风险进行防范分析）、风险评估标准以及风险管理的内容。（包括评估、控制、沟通与审核、改进与预防等）。</w:t>
            </w:r>
          </w:p>
          <w:p w14:paraId="595D14E9">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查阅企业风险评估报告，是否至少包括评估范围、评估项目、风险分析、风险点确认及防范控制措施等。防范控制措施包括但不限于对体系文件的修订，对相关岗位人员开展培训等。</w:t>
            </w:r>
          </w:p>
        </w:tc>
      </w:tr>
      <w:tr w14:paraId="4539C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619" w:type="dxa"/>
            <w:vAlign w:val="center"/>
          </w:tcPr>
          <w:p w14:paraId="770530EF">
            <w:pPr>
              <w:keepNext w:val="0"/>
              <w:keepLines w:val="0"/>
              <w:pageBreakBefore w:val="0"/>
              <w:kinsoku/>
              <w:wordWrap/>
              <w:overflowPunct/>
              <w:topLinePunct w:val="0"/>
              <w:autoSpaceDE w:val="0"/>
              <w:autoSpaceDN w:val="0"/>
              <w:bidi w:val="0"/>
              <w:adjustRightInd/>
              <w:spacing w:line="32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p>
        </w:tc>
        <w:tc>
          <w:tcPr>
            <w:tcW w:w="552" w:type="dxa"/>
            <w:vMerge w:val="continue"/>
            <w:vAlign w:val="center"/>
          </w:tcPr>
          <w:p w14:paraId="60A128F1">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1846CC7B">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01101</w:t>
            </w:r>
          </w:p>
        </w:tc>
        <w:tc>
          <w:tcPr>
            <w:tcW w:w="4918" w:type="dxa"/>
            <w:vAlign w:val="center"/>
          </w:tcPr>
          <w:p w14:paraId="4B444E2B">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企业应当对药品供货单位、购货单位的质量管理体系进行评价，确认其质量保证能力和质量信誉，必要时进行实地考察。</w:t>
            </w:r>
          </w:p>
        </w:tc>
        <w:tc>
          <w:tcPr>
            <w:tcW w:w="7140" w:type="dxa"/>
            <w:vAlign w:val="center"/>
          </w:tcPr>
          <w:p w14:paraId="1EAEAF2C">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查阅企业对供货单位的质量管理体系评价的相关规定中，是否明确实地考察的必要情形及具体必须条件。</w:t>
            </w:r>
          </w:p>
        </w:tc>
      </w:tr>
      <w:tr w14:paraId="23F70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619" w:type="dxa"/>
            <w:vAlign w:val="center"/>
          </w:tcPr>
          <w:p w14:paraId="6A4A4395">
            <w:pPr>
              <w:keepNext w:val="0"/>
              <w:keepLines w:val="0"/>
              <w:pageBreakBefore w:val="0"/>
              <w:kinsoku/>
              <w:wordWrap/>
              <w:overflowPunct/>
              <w:topLinePunct w:val="0"/>
              <w:autoSpaceDE w:val="0"/>
              <w:autoSpaceDN w:val="0"/>
              <w:bidi w:val="0"/>
              <w:adjustRightInd/>
              <w:spacing w:line="32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p>
        </w:tc>
        <w:tc>
          <w:tcPr>
            <w:tcW w:w="552" w:type="dxa"/>
            <w:vMerge w:val="continue"/>
            <w:vAlign w:val="center"/>
          </w:tcPr>
          <w:p w14:paraId="202044B6">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24E3FC96">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*01201</w:t>
            </w:r>
          </w:p>
        </w:tc>
        <w:tc>
          <w:tcPr>
            <w:tcW w:w="4918" w:type="dxa"/>
            <w:vAlign w:val="center"/>
          </w:tcPr>
          <w:p w14:paraId="19D899E5">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企业应当全员参与质量管理，各部门、岗位人员应当正确理解并履行职责，承担相应的质量责任。</w:t>
            </w:r>
          </w:p>
        </w:tc>
        <w:tc>
          <w:tcPr>
            <w:tcW w:w="7140" w:type="dxa"/>
            <w:vAlign w:val="center"/>
          </w:tcPr>
          <w:p w14:paraId="400CC94F">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eastAsia="宋体" w:cs="宋体"/>
                <w:color w:val="auto"/>
                <w:sz w:val="24"/>
                <w:szCs w:val="24"/>
                <w:highlight w:val="none"/>
              </w:rPr>
              <w:t>查阅企业各部门、岗位职责中是否有明确的质量职责，应当形成文件并与企业实际相符。</w:t>
            </w:r>
          </w:p>
          <w:p w14:paraId="22936996">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询问企业质量管理关键岗位人员及其他相关人员应当了解所在部门和岗位的职责。</w:t>
            </w:r>
          </w:p>
        </w:tc>
      </w:tr>
      <w:tr w14:paraId="71E66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vAlign w:val="center"/>
          </w:tcPr>
          <w:p w14:paraId="30C0A011">
            <w:pPr>
              <w:keepNext w:val="0"/>
              <w:keepLines w:val="0"/>
              <w:pageBreakBefore w:val="0"/>
              <w:kinsoku/>
              <w:wordWrap/>
              <w:overflowPunct/>
              <w:topLinePunct w:val="0"/>
              <w:autoSpaceDE w:val="0"/>
              <w:autoSpaceDN w:val="0"/>
              <w:bidi w:val="0"/>
              <w:adjustRightInd/>
              <w:spacing w:line="32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c>
          <w:tcPr>
            <w:tcW w:w="552" w:type="dxa"/>
            <w:vMerge w:val="restart"/>
            <w:vAlign w:val="center"/>
          </w:tcPr>
          <w:p w14:paraId="49CCD941">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w:t>
            </w:r>
          </w:p>
          <w:p w14:paraId="61AE9C09">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构</w:t>
            </w:r>
          </w:p>
          <w:p w14:paraId="5BDD8E15">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和</w:t>
            </w:r>
          </w:p>
          <w:p w14:paraId="0CE0D264">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w:t>
            </w:r>
          </w:p>
          <w:p w14:paraId="5DCDC3A3">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量</w:t>
            </w:r>
          </w:p>
          <w:p w14:paraId="4C73F47C">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w:t>
            </w:r>
          </w:p>
          <w:p w14:paraId="57940735">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理</w:t>
            </w:r>
          </w:p>
          <w:p w14:paraId="5AA9325D">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w:t>
            </w:r>
          </w:p>
          <w:p w14:paraId="02332EA3">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责</w:t>
            </w:r>
          </w:p>
        </w:tc>
        <w:tc>
          <w:tcPr>
            <w:tcW w:w="1127" w:type="dxa"/>
            <w:vAlign w:val="center"/>
          </w:tcPr>
          <w:p w14:paraId="65497BB5">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*01301</w:t>
            </w:r>
          </w:p>
        </w:tc>
        <w:tc>
          <w:tcPr>
            <w:tcW w:w="4918" w:type="dxa"/>
            <w:vAlign w:val="center"/>
          </w:tcPr>
          <w:p w14:paraId="4E056841">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企业应当设立与其经营活动和质量管理相适应的组织机构或者岗位。</w:t>
            </w:r>
          </w:p>
        </w:tc>
        <w:tc>
          <w:tcPr>
            <w:tcW w:w="7140" w:type="dxa"/>
            <w:vAlign w:val="center"/>
          </w:tcPr>
          <w:p w14:paraId="3117ABCE">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eastAsia="宋体" w:cs="宋体"/>
                <w:color w:val="auto"/>
                <w:sz w:val="24"/>
                <w:szCs w:val="24"/>
                <w:highlight w:val="none"/>
              </w:rPr>
              <w:t>查阅企业组织机构图，核实部门设置（如采购、仓储、质量、</w:t>
            </w:r>
            <w:r>
              <w:rPr>
                <w:rFonts w:hint="eastAsia" w:ascii="宋体" w:hAnsi="宋体" w:cs="宋体"/>
                <w:color w:val="auto"/>
                <w:sz w:val="24"/>
                <w:szCs w:val="24"/>
                <w:highlight w:val="none"/>
                <w:lang w:eastAsia="zh-CN"/>
              </w:rPr>
              <w:t>调拨</w:t>
            </w:r>
            <w:r>
              <w:rPr>
                <w:rFonts w:hint="eastAsia" w:ascii="宋体" w:hAnsi="宋体" w:eastAsia="宋体" w:cs="宋体"/>
                <w:color w:val="auto"/>
                <w:sz w:val="24"/>
                <w:szCs w:val="24"/>
                <w:highlight w:val="none"/>
              </w:rPr>
              <w:t>等）、管理层级、岗位名称及负责人是否与实际情况一致。</w:t>
            </w:r>
          </w:p>
          <w:p w14:paraId="398FC36A">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检查企业是否根据经营范围（如生物制品、冷链药品等）和经营规模（如</w:t>
            </w:r>
            <w:r>
              <w:rPr>
                <w:rFonts w:hint="eastAsia" w:ascii="宋体" w:hAnsi="宋体" w:cs="宋体"/>
                <w:color w:val="auto"/>
                <w:sz w:val="24"/>
                <w:szCs w:val="24"/>
                <w:highlight w:val="none"/>
                <w:lang w:eastAsia="zh-CN"/>
              </w:rPr>
              <w:t>门店数量</w:t>
            </w:r>
            <w:r>
              <w:rPr>
                <w:rFonts w:hint="eastAsia" w:ascii="宋体" w:hAnsi="宋体" w:eastAsia="宋体" w:cs="宋体"/>
                <w:color w:val="auto"/>
                <w:sz w:val="24"/>
                <w:szCs w:val="24"/>
                <w:highlight w:val="none"/>
              </w:rPr>
              <w:t>、仓储面积）合理设置机构或岗位，确保无职能缺失或冗余。</w:t>
            </w:r>
          </w:p>
          <w:p w14:paraId="2D9B8D03">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3.</w:t>
            </w:r>
            <w:r>
              <w:rPr>
                <w:rFonts w:hint="eastAsia" w:ascii="宋体" w:hAnsi="宋体" w:eastAsia="宋体" w:cs="宋体"/>
                <w:color w:val="auto"/>
                <w:sz w:val="24"/>
                <w:szCs w:val="24"/>
                <w:highlight w:val="none"/>
              </w:rPr>
              <w:t>抽查关键岗位（如验收、养护、质量管理）人员配置是否满足业务需求，并符合该细则中关于人员资质和数量的要求。</w:t>
            </w:r>
          </w:p>
        </w:tc>
      </w:tr>
      <w:tr w14:paraId="3EC18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619" w:type="dxa"/>
            <w:vAlign w:val="center"/>
          </w:tcPr>
          <w:p w14:paraId="3AD091BD">
            <w:pPr>
              <w:keepNext w:val="0"/>
              <w:keepLines w:val="0"/>
              <w:pageBreakBefore w:val="0"/>
              <w:kinsoku/>
              <w:wordWrap/>
              <w:overflowPunct/>
              <w:topLinePunct w:val="0"/>
              <w:autoSpaceDE w:val="0"/>
              <w:autoSpaceDN w:val="0"/>
              <w:bidi w:val="0"/>
              <w:adjustRightInd/>
              <w:spacing w:line="32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w:t>
            </w:r>
          </w:p>
        </w:tc>
        <w:tc>
          <w:tcPr>
            <w:tcW w:w="552" w:type="dxa"/>
            <w:vMerge w:val="continue"/>
            <w:vAlign w:val="center"/>
          </w:tcPr>
          <w:p w14:paraId="57BC0E15">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3132AA07">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*01302</w:t>
            </w:r>
          </w:p>
        </w:tc>
        <w:tc>
          <w:tcPr>
            <w:tcW w:w="4918" w:type="dxa"/>
            <w:vAlign w:val="center"/>
          </w:tcPr>
          <w:p w14:paraId="2D1AD90A">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企业应当明确规定各组织机构或者岗位的职责、权限及相互关系。</w:t>
            </w:r>
          </w:p>
        </w:tc>
        <w:tc>
          <w:tcPr>
            <w:tcW w:w="7140" w:type="dxa"/>
            <w:vAlign w:val="center"/>
          </w:tcPr>
          <w:p w14:paraId="6F235FD0">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eastAsia="宋体" w:cs="宋体"/>
                <w:color w:val="auto"/>
                <w:sz w:val="24"/>
                <w:szCs w:val="24"/>
                <w:highlight w:val="none"/>
              </w:rPr>
              <w:t>查阅企业岗位职责文件，核实是否明确各部门、岗位的职责及权限（如采购审批权、质量负责人质量裁决权）。</w:t>
            </w:r>
          </w:p>
          <w:p w14:paraId="73C044B1">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查阅岗位职责规定是否覆盖药品经营全过程（采购、储存、销售、运输、退货等），是否存在职责交叉或空白。</w:t>
            </w:r>
          </w:p>
        </w:tc>
      </w:tr>
      <w:tr w14:paraId="0D39D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vAlign w:val="center"/>
          </w:tcPr>
          <w:p w14:paraId="25B4AE67">
            <w:pPr>
              <w:keepNext w:val="0"/>
              <w:keepLines w:val="0"/>
              <w:pageBreakBefore w:val="0"/>
              <w:kinsoku/>
              <w:wordWrap/>
              <w:overflowPunct/>
              <w:topLinePunct w:val="0"/>
              <w:autoSpaceDE w:val="0"/>
              <w:autoSpaceDN w:val="0"/>
              <w:bidi w:val="0"/>
              <w:adjustRightInd/>
              <w:spacing w:line="32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w:t>
            </w:r>
          </w:p>
        </w:tc>
        <w:tc>
          <w:tcPr>
            <w:tcW w:w="552" w:type="dxa"/>
            <w:vMerge w:val="continue"/>
            <w:vAlign w:val="center"/>
          </w:tcPr>
          <w:p w14:paraId="17883007">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20661FD1">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*01401</w:t>
            </w:r>
          </w:p>
        </w:tc>
        <w:tc>
          <w:tcPr>
            <w:tcW w:w="4918" w:type="dxa"/>
            <w:vAlign w:val="center"/>
          </w:tcPr>
          <w:p w14:paraId="34034F00">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pacing w:val="-6"/>
                <w:sz w:val="24"/>
                <w:szCs w:val="24"/>
                <w:highlight w:val="none"/>
              </w:rPr>
            </w:pPr>
            <w:r>
              <w:rPr>
                <w:rFonts w:hint="eastAsia" w:ascii="宋体" w:hAnsi="宋体" w:cs="宋体"/>
                <w:color w:val="auto"/>
                <w:spacing w:val="-6"/>
                <w:sz w:val="24"/>
                <w:szCs w:val="24"/>
                <w:highlight w:val="none"/>
                <w:lang w:eastAsia="zh-CN"/>
              </w:rPr>
              <w:t>主要负责人</w:t>
            </w:r>
            <w:r>
              <w:rPr>
                <w:rFonts w:hint="eastAsia" w:ascii="宋体" w:hAnsi="宋体" w:eastAsia="宋体" w:cs="宋体"/>
                <w:color w:val="auto"/>
                <w:spacing w:val="-6"/>
                <w:sz w:val="24"/>
                <w:szCs w:val="24"/>
                <w:highlight w:val="none"/>
              </w:rPr>
              <w:t>是药品质量的主要责任人，全面负责企业日常管理，负责提供必要的条件，保证质量管理部门和质量管理人员有效履行职责，确保企业实现质量目标并按照《规范》要求经营药品。</w:t>
            </w:r>
          </w:p>
        </w:tc>
        <w:tc>
          <w:tcPr>
            <w:tcW w:w="7140" w:type="dxa"/>
            <w:vAlign w:val="center"/>
          </w:tcPr>
          <w:p w14:paraId="1D6F295C">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检查</w:t>
            </w:r>
            <w:r>
              <w:rPr>
                <w:rFonts w:hint="eastAsia" w:ascii="宋体" w:hAnsi="宋体" w:cs="宋体"/>
                <w:color w:val="auto"/>
                <w:sz w:val="24"/>
                <w:szCs w:val="24"/>
                <w:highlight w:val="none"/>
                <w:lang w:eastAsia="zh-CN"/>
              </w:rPr>
              <w:t>主要负责人</w:t>
            </w:r>
            <w:r>
              <w:rPr>
                <w:rFonts w:hint="eastAsia" w:ascii="宋体" w:hAnsi="宋体" w:eastAsia="宋体" w:cs="宋体"/>
                <w:color w:val="auto"/>
                <w:sz w:val="24"/>
                <w:szCs w:val="24"/>
                <w:highlight w:val="none"/>
              </w:rPr>
              <w:t>是否签署质量目标文件，并提供资源保障记录（如质量部门预算、设施设备采购审批）。</w:t>
            </w:r>
          </w:p>
        </w:tc>
      </w:tr>
      <w:tr w14:paraId="4A737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19" w:type="dxa"/>
            <w:vAlign w:val="center"/>
          </w:tcPr>
          <w:p w14:paraId="45FF95D0">
            <w:pPr>
              <w:keepNext w:val="0"/>
              <w:keepLines w:val="0"/>
              <w:pageBreakBefore w:val="0"/>
              <w:kinsoku/>
              <w:wordWrap/>
              <w:overflowPunct/>
              <w:topLinePunct w:val="0"/>
              <w:autoSpaceDE w:val="0"/>
              <w:autoSpaceDN w:val="0"/>
              <w:bidi w:val="0"/>
              <w:adjustRightInd/>
              <w:spacing w:line="32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w:t>
            </w:r>
          </w:p>
        </w:tc>
        <w:tc>
          <w:tcPr>
            <w:tcW w:w="552" w:type="dxa"/>
            <w:vMerge w:val="continue"/>
            <w:vAlign w:val="center"/>
          </w:tcPr>
          <w:p w14:paraId="6B8C1BB5">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6C392C3A">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*01501</w:t>
            </w:r>
          </w:p>
        </w:tc>
        <w:tc>
          <w:tcPr>
            <w:tcW w:w="4918" w:type="dxa"/>
            <w:vAlign w:val="center"/>
          </w:tcPr>
          <w:p w14:paraId="018AAC20">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企业质量负责人应当由企业高层管理人员担任，全面负责药品质量管理工作，独立履行职责，在企业内部对药品质量管理具有裁决权。</w:t>
            </w:r>
          </w:p>
        </w:tc>
        <w:tc>
          <w:tcPr>
            <w:tcW w:w="7140" w:type="dxa"/>
            <w:vAlign w:val="center"/>
          </w:tcPr>
          <w:p w14:paraId="6469109E">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eastAsia="宋体" w:cs="宋体"/>
                <w:color w:val="auto"/>
                <w:sz w:val="24"/>
                <w:szCs w:val="24"/>
                <w:highlight w:val="none"/>
              </w:rPr>
              <w:t>查阅质量负责人任命文件，确认其是否为高层人员。</w:t>
            </w:r>
          </w:p>
          <w:p w14:paraId="3C7D2D81">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查阅质量负责人职责是否独立行使质量管理职权，是否具有最终药品质量管理裁决权。</w:t>
            </w:r>
          </w:p>
        </w:tc>
      </w:tr>
      <w:tr w14:paraId="0FB6F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vAlign w:val="center"/>
          </w:tcPr>
          <w:p w14:paraId="4118F756">
            <w:pPr>
              <w:keepNext w:val="0"/>
              <w:keepLines w:val="0"/>
              <w:pageBreakBefore w:val="0"/>
              <w:kinsoku/>
              <w:wordWrap/>
              <w:overflowPunct/>
              <w:topLinePunct w:val="0"/>
              <w:autoSpaceDE w:val="0"/>
              <w:autoSpaceDN w:val="0"/>
              <w:bidi w:val="0"/>
              <w:adjustRightInd/>
              <w:spacing w:line="32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w:t>
            </w:r>
          </w:p>
        </w:tc>
        <w:tc>
          <w:tcPr>
            <w:tcW w:w="552" w:type="dxa"/>
            <w:vMerge w:val="continue"/>
            <w:vAlign w:val="center"/>
          </w:tcPr>
          <w:p w14:paraId="0AFFCCAE">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39432AAF">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*01601</w:t>
            </w:r>
          </w:p>
        </w:tc>
        <w:tc>
          <w:tcPr>
            <w:tcW w:w="4918" w:type="dxa"/>
            <w:vAlign w:val="center"/>
          </w:tcPr>
          <w:p w14:paraId="5A4EE017">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企业应当设立质量管理部门，有效开展质量管理工作。</w:t>
            </w:r>
          </w:p>
        </w:tc>
        <w:tc>
          <w:tcPr>
            <w:tcW w:w="7140" w:type="dxa"/>
            <w:vAlign w:val="center"/>
          </w:tcPr>
          <w:p w14:paraId="15A10171">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eastAsia="宋体" w:cs="宋体"/>
                <w:color w:val="auto"/>
                <w:sz w:val="24"/>
                <w:szCs w:val="24"/>
                <w:highlight w:val="none"/>
              </w:rPr>
              <w:t>核实质量管理部门是否直接由质量负责人领导，并独立于其他业务部门。</w:t>
            </w:r>
          </w:p>
          <w:p w14:paraId="1E8040FE">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企业组织机构图中应当设置质量管理部门，有效开展质量管理工作；</w:t>
            </w:r>
          </w:p>
          <w:p w14:paraId="7FA99F43">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3.</w:t>
            </w:r>
            <w:r>
              <w:rPr>
                <w:rFonts w:hint="eastAsia" w:ascii="宋体" w:hAnsi="宋体" w:eastAsia="宋体" w:cs="宋体"/>
                <w:color w:val="auto"/>
                <w:sz w:val="24"/>
                <w:szCs w:val="24"/>
                <w:highlight w:val="none"/>
              </w:rPr>
              <w:t>企业质量管理部门应当设置独立的办公场所、办公设备；</w:t>
            </w:r>
          </w:p>
          <w:p w14:paraId="66863665">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4.企业质量管理部应当设置部门负责人、质量管理员、验收员等岗位，人员配备应当与经营范围和规模相适应。</w:t>
            </w:r>
          </w:p>
          <w:p w14:paraId="1DAE3C65">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5.</w:t>
            </w:r>
            <w:r>
              <w:rPr>
                <w:rFonts w:hint="eastAsia" w:ascii="宋体" w:hAnsi="宋体" w:eastAsia="宋体" w:cs="宋体"/>
                <w:color w:val="auto"/>
                <w:sz w:val="24"/>
                <w:szCs w:val="24"/>
                <w:highlight w:val="none"/>
              </w:rPr>
              <w:t>质量管理部门是否设立部门负责人、质量管理员、验收员等岗位，且上述人员不得兼职其他非质量管理工作。</w:t>
            </w:r>
          </w:p>
        </w:tc>
      </w:tr>
      <w:tr w14:paraId="7C3A7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619" w:type="dxa"/>
            <w:vAlign w:val="center"/>
          </w:tcPr>
          <w:p w14:paraId="354EBFA8">
            <w:pPr>
              <w:keepNext w:val="0"/>
              <w:keepLines w:val="0"/>
              <w:pageBreakBefore w:val="0"/>
              <w:kinsoku/>
              <w:wordWrap/>
              <w:overflowPunct/>
              <w:topLinePunct w:val="0"/>
              <w:autoSpaceDE w:val="0"/>
              <w:autoSpaceDN w:val="0"/>
              <w:bidi w:val="0"/>
              <w:adjustRightInd/>
              <w:spacing w:line="32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w:t>
            </w:r>
          </w:p>
        </w:tc>
        <w:tc>
          <w:tcPr>
            <w:tcW w:w="552" w:type="dxa"/>
            <w:vMerge w:val="continue"/>
            <w:vAlign w:val="center"/>
          </w:tcPr>
          <w:p w14:paraId="19F68206">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0D9FC529">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*01602</w:t>
            </w:r>
          </w:p>
        </w:tc>
        <w:tc>
          <w:tcPr>
            <w:tcW w:w="4918" w:type="dxa"/>
            <w:vAlign w:val="center"/>
          </w:tcPr>
          <w:p w14:paraId="4C4B4A02">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企业质量管理部门的职责不得由其他部门及人员履行。</w:t>
            </w:r>
          </w:p>
        </w:tc>
        <w:tc>
          <w:tcPr>
            <w:tcW w:w="7140" w:type="dxa"/>
            <w:vAlign w:val="center"/>
          </w:tcPr>
          <w:p w14:paraId="11B1E153">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eastAsia="宋体" w:cs="宋体"/>
                <w:color w:val="auto"/>
                <w:sz w:val="24"/>
                <w:szCs w:val="24"/>
                <w:highlight w:val="none"/>
              </w:rPr>
              <w:t>检查其他部门（如销售部、仓储部）职责文件，确保未包含质量审核、验收等专属职责。</w:t>
            </w:r>
          </w:p>
          <w:p w14:paraId="5C4D2CF1">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检查计算机系统权限，质量管理部门权限不能由其他部门履行。</w:t>
            </w:r>
          </w:p>
        </w:tc>
      </w:tr>
      <w:tr w14:paraId="6CE9D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19" w:type="dxa"/>
            <w:vAlign w:val="center"/>
          </w:tcPr>
          <w:p w14:paraId="68DD5750">
            <w:pPr>
              <w:keepNext w:val="0"/>
              <w:keepLines w:val="0"/>
              <w:pageBreakBefore w:val="0"/>
              <w:kinsoku/>
              <w:wordWrap/>
              <w:overflowPunct/>
              <w:topLinePunct w:val="0"/>
              <w:autoSpaceDE w:val="0"/>
              <w:autoSpaceDN w:val="0"/>
              <w:bidi w:val="0"/>
              <w:adjustRightInd/>
              <w:spacing w:line="32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21</w:t>
            </w:r>
          </w:p>
        </w:tc>
        <w:tc>
          <w:tcPr>
            <w:tcW w:w="552" w:type="dxa"/>
            <w:vMerge w:val="continue"/>
            <w:vAlign w:val="center"/>
          </w:tcPr>
          <w:p w14:paraId="31B95C75">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58A5B90B">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01701</w:t>
            </w:r>
          </w:p>
        </w:tc>
        <w:tc>
          <w:tcPr>
            <w:tcW w:w="4918" w:type="dxa"/>
            <w:vAlign w:val="center"/>
          </w:tcPr>
          <w:p w14:paraId="1F500710">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质量管理部门应当督促相关部门和岗位人员执行药品管理的法律法规及《规范》的要求。</w:t>
            </w:r>
          </w:p>
        </w:tc>
        <w:tc>
          <w:tcPr>
            <w:tcW w:w="7140" w:type="dxa"/>
            <w:vMerge w:val="restart"/>
            <w:vAlign w:val="center"/>
          </w:tcPr>
          <w:p w14:paraId="58A49627">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查阅质量管理部门职责和质量管理部门人员职责是否包含该内容。</w:t>
            </w:r>
          </w:p>
        </w:tc>
      </w:tr>
      <w:tr w14:paraId="69B76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19" w:type="dxa"/>
            <w:vAlign w:val="center"/>
          </w:tcPr>
          <w:p w14:paraId="2B3AE12C">
            <w:pPr>
              <w:keepNext w:val="0"/>
              <w:keepLines w:val="0"/>
              <w:pageBreakBefore w:val="0"/>
              <w:kinsoku/>
              <w:wordWrap/>
              <w:overflowPunct/>
              <w:topLinePunct w:val="0"/>
              <w:autoSpaceDE w:val="0"/>
              <w:autoSpaceDN w:val="0"/>
              <w:bidi w:val="0"/>
              <w:adjustRightInd/>
              <w:spacing w:line="32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22</w:t>
            </w:r>
          </w:p>
        </w:tc>
        <w:tc>
          <w:tcPr>
            <w:tcW w:w="552" w:type="dxa"/>
            <w:vMerge w:val="continue"/>
            <w:vAlign w:val="center"/>
          </w:tcPr>
          <w:p w14:paraId="09B663D5">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6DD1621D">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01702</w:t>
            </w:r>
          </w:p>
        </w:tc>
        <w:tc>
          <w:tcPr>
            <w:tcW w:w="4918" w:type="dxa"/>
            <w:vAlign w:val="center"/>
          </w:tcPr>
          <w:p w14:paraId="3A9B7A09">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质量管理部门应当组织制订质量管理体系文件，并指导、监督文件的执行。</w:t>
            </w:r>
          </w:p>
        </w:tc>
        <w:tc>
          <w:tcPr>
            <w:tcW w:w="7140" w:type="dxa"/>
            <w:vMerge w:val="continue"/>
            <w:vAlign w:val="center"/>
          </w:tcPr>
          <w:p w14:paraId="7359DA0B">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p>
        </w:tc>
      </w:tr>
      <w:tr w14:paraId="50CA6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619" w:type="dxa"/>
            <w:vAlign w:val="center"/>
          </w:tcPr>
          <w:p w14:paraId="44E2818F">
            <w:pPr>
              <w:keepNext w:val="0"/>
              <w:keepLines w:val="0"/>
              <w:pageBreakBefore w:val="0"/>
              <w:kinsoku/>
              <w:wordWrap/>
              <w:overflowPunct/>
              <w:topLinePunct w:val="0"/>
              <w:autoSpaceDE w:val="0"/>
              <w:autoSpaceDN w:val="0"/>
              <w:bidi w:val="0"/>
              <w:adjustRightInd/>
              <w:spacing w:line="32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23</w:t>
            </w:r>
          </w:p>
        </w:tc>
        <w:tc>
          <w:tcPr>
            <w:tcW w:w="552" w:type="dxa"/>
            <w:vMerge w:val="continue"/>
            <w:vAlign w:val="center"/>
          </w:tcPr>
          <w:p w14:paraId="4DAA4041">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50C5053B">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*01703</w:t>
            </w:r>
          </w:p>
        </w:tc>
        <w:tc>
          <w:tcPr>
            <w:tcW w:w="4918" w:type="dxa"/>
            <w:vAlign w:val="center"/>
          </w:tcPr>
          <w:p w14:paraId="7A24C880">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质量管理部门应当负责对供货单位和购货单位的合法性、购进药品的合法性以及供货单位销售人员、购货单位采购人员的合法资格进行审核，并根据审核内容的变化进行动态管理。</w:t>
            </w:r>
          </w:p>
        </w:tc>
        <w:tc>
          <w:tcPr>
            <w:tcW w:w="7140" w:type="dxa"/>
            <w:vMerge w:val="continue"/>
            <w:vAlign w:val="center"/>
          </w:tcPr>
          <w:p w14:paraId="0CD4128B">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p>
        </w:tc>
      </w:tr>
      <w:tr w14:paraId="00970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19" w:type="dxa"/>
            <w:vAlign w:val="center"/>
          </w:tcPr>
          <w:p w14:paraId="69C87BE8">
            <w:pPr>
              <w:keepNext w:val="0"/>
              <w:keepLines w:val="0"/>
              <w:pageBreakBefore w:val="0"/>
              <w:kinsoku/>
              <w:wordWrap/>
              <w:overflowPunct/>
              <w:topLinePunct w:val="0"/>
              <w:autoSpaceDE w:val="0"/>
              <w:autoSpaceDN w:val="0"/>
              <w:bidi w:val="0"/>
              <w:adjustRightInd/>
              <w:spacing w:line="32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24</w:t>
            </w:r>
          </w:p>
        </w:tc>
        <w:tc>
          <w:tcPr>
            <w:tcW w:w="552" w:type="dxa"/>
            <w:vMerge w:val="continue"/>
            <w:vAlign w:val="center"/>
          </w:tcPr>
          <w:p w14:paraId="4117DC34">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55E76548">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01704</w:t>
            </w:r>
          </w:p>
        </w:tc>
        <w:tc>
          <w:tcPr>
            <w:tcW w:w="4918" w:type="dxa"/>
            <w:vAlign w:val="center"/>
          </w:tcPr>
          <w:p w14:paraId="0F8FCEB1">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质量管理部门应当负责质量信息的收集和管理，并建立药品质量档案。</w:t>
            </w:r>
          </w:p>
        </w:tc>
        <w:tc>
          <w:tcPr>
            <w:tcW w:w="7140" w:type="dxa"/>
            <w:vMerge w:val="continue"/>
            <w:vAlign w:val="center"/>
          </w:tcPr>
          <w:p w14:paraId="48AA3C82">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p>
        </w:tc>
      </w:tr>
      <w:tr w14:paraId="24159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619" w:type="dxa"/>
            <w:vAlign w:val="center"/>
          </w:tcPr>
          <w:p w14:paraId="5664599B">
            <w:pPr>
              <w:keepNext w:val="0"/>
              <w:keepLines w:val="0"/>
              <w:pageBreakBefore w:val="0"/>
              <w:kinsoku/>
              <w:wordWrap/>
              <w:overflowPunct/>
              <w:topLinePunct w:val="0"/>
              <w:autoSpaceDE w:val="0"/>
              <w:autoSpaceDN w:val="0"/>
              <w:bidi w:val="0"/>
              <w:adjustRightInd/>
              <w:spacing w:line="32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25</w:t>
            </w:r>
          </w:p>
        </w:tc>
        <w:tc>
          <w:tcPr>
            <w:tcW w:w="552" w:type="dxa"/>
            <w:vMerge w:val="continue"/>
            <w:vAlign w:val="center"/>
          </w:tcPr>
          <w:p w14:paraId="1D827972">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3254CD1E">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*01705</w:t>
            </w:r>
          </w:p>
        </w:tc>
        <w:tc>
          <w:tcPr>
            <w:tcW w:w="4918" w:type="dxa"/>
            <w:vAlign w:val="center"/>
          </w:tcPr>
          <w:p w14:paraId="1F1813F4">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质量管理部门应当负责药品的验收，指导并监督药品采购、储存、养护、销售、退货、运输等环节的质量管理工作。</w:t>
            </w:r>
          </w:p>
        </w:tc>
        <w:tc>
          <w:tcPr>
            <w:tcW w:w="7140" w:type="dxa"/>
            <w:vMerge w:val="continue"/>
            <w:vAlign w:val="center"/>
          </w:tcPr>
          <w:p w14:paraId="5D2AEC3C">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p>
        </w:tc>
      </w:tr>
      <w:tr w14:paraId="437C6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19" w:type="dxa"/>
            <w:vAlign w:val="center"/>
          </w:tcPr>
          <w:p w14:paraId="022D42E8">
            <w:pPr>
              <w:keepNext w:val="0"/>
              <w:keepLines w:val="0"/>
              <w:pageBreakBefore w:val="0"/>
              <w:kinsoku/>
              <w:wordWrap/>
              <w:overflowPunct/>
              <w:topLinePunct w:val="0"/>
              <w:autoSpaceDE w:val="0"/>
              <w:autoSpaceDN w:val="0"/>
              <w:bidi w:val="0"/>
              <w:adjustRightInd/>
              <w:spacing w:line="32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26</w:t>
            </w:r>
          </w:p>
        </w:tc>
        <w:tc>
          <w:tcPr>
            <w:tcW w:w="552" w:type="dxa"/>
            <w:vMerge w:val="continue"/>
            <w:vAlign w:val="center"/>
          </w:tcPr>
          <w:p w14:paraId="7A62C2A8">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1FA4C335">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*01706</w:t>
            </w:r>
          </w:p>
        </w:tc>
        <w:tc>
          <w:tcPr>
            <w:tcW w:w="4918" w:type="dxa"/>
            <w:vAlign w:val="center"/>
          </w:tcPr>
          <w:p w14:paraId="6C6546FC">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质量管理部门应当负责不合格药品的确认，对不合格药品的处理过程实施监督。</w:t>
            </w:r>
          </w:p>
        </w:tc>
        <w:tc>
          <w:tcPr>
            <w:tcW w:w="7140" w:type="dxa"/>
            <w:vMerge w:val="continue"/>
            <w:vAlign w:val="center"/>
          </w:tcPr>
          <w:p w14:paraId="16D3658E">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p>
        </w:tc>
      </w:tr>
      <w:tr w14:paraId="33E05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619" w:type="dxa"/>
            <w:vAlign w:val="center"/>
          </w:tcPr>
          <w:p w14:paraId="4739C10C">
            <w:pPr>
              <w:keepNext w:val="0"/>
              <w:keepLines w:val="0"/>
              <w:pageBreakBefore w:val="0"/>
              <w:kinsoku/>
              <w:wordWrap/>
              <w:overflowPunct/>
              <w:topLinePunct w:val="0"/>
              <w:autoSpaceDE w:val="0"/>
              <w:autoSpaceDN w:val="0"/>
              <w:bidi w:val="0"/>
              <w:adjustRightInd/>
              <w:spacing w:line="32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27</w:t>
            </w:r>
          </w:p>
        </w:tc>
        <w:tc>
          <w:tcPr>
            <w:tcW w:w="552" w:type="dxa"/>
            <w:vMerge w:val="continue"/>
            <w:vAlign w:val="center"/>
          </w:tcPr>
          <w:p w14:paraId="139F3BF4">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27154065">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01707</w:t>
            </w:r>
          </w:p>
        </w:tc>
        <w:tc>
          <w:tcPr>
            <w:tcW w:w="4918" w:type="dxa"/>
            <w:vAlign w:val="center"/>
          </w:tcPr>
          <w:p w14:paraId="593ACB8F">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质量管理部门应当负责药品质量投诉和质量事故的调查、处理及报告。</w:t>
            </w:r>
          </w:p>
        </w:tc>
        <w:tc>
          <w:tcPr>
            <w:tcW w:w="7140" w:type="dxa"/>
            <w:vMerge w:val="continue"/>
            <w:vAlign w:val="center"/>
          </w:tcPr>
          <w:p w14:paraId="1DFD048B">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p>
        </w:tc>
      </w:tr>
      <w:tr w14:paraId="0E498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19" w:type="dxa"/>
            <w:vAlign w:val="center"/>
          </w:tcPr>
          <w:p w14:paraId="35780AE2">
            <w:pPr>
              <w:keepNext w:val="0"/>
              <w:keepLines w:val="0"/>
              <w:pageBreakBefore w:val="0"/>
              <w:kinsoku/>
              <w:wordWrap/>
              <w:overflowPunct/>
              <w:topLinePunct w:val="0"/>
              <w:autoSpaceDE w:val="0"/>
              <w:autoSpaceDN w:val="0"/>
              <w:bidi w:val="0"/>
              <w:adjustRightInd/>
              <w:spacing w:line="32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28</w:t>
            </w:r>
          </w:p>
        </w:tc>
        <w:tc>
          <w:tcPr>
            <w:tcW w:w="552" w:type="dxa"/>
            <w:vMerge w:val="continue"/>
            <w:vAlign w:val="center"/>
          </w:tcPr>
          <w:p w14:paraId="5300A852">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5486B222">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01708</w:t>
            </w:r>
          </w:p>
        </w:tc>
        <w:tc>
          <w:tcPr>
            <w:tcW w:w="4918" w:type="dxa"/>
            <w:vAlign w:val="center"/>
          </w:tcPr>
          <w:p w14:paraId="19C66105">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质量管理部门应当负责假劣药品的报告。</w:t>
            </w:r>
          </w:p>
        </w:tc>
        <w:tc>
          <w:tcPr>
            <w:tcW w:w="7140" w:type="dxa"/>
            <w:vMerge w:val="continue"/>
            <w:vAlign w:val="center"/>
          </w:tcPr>
          <w:p w14:paraId="492F9BB7">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p>
        </w:tc>
      </w:tr>
      <w:tr w14:paraId="1FB7D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19" w:type="dxa"/>
            <w:vAlign w:val="center"/>
          </w:tcPr>
          <w:p w14:paraId="52A69459">
            <w:pPr>
              <w:keepNext w:val="0"/>
              <w:keepLines w:val="0"/>
              <w:pageBreakBefore w:val="0"/>
              <w:kinsoku/>
              <w:wordWrap/>
              <w:overflowPunct/>
              <w:topLinePunct w:val="0"/>
              <w:autoSpaceDE w:val="0"/>
              <w:autoSpaceDN w:val="0"/>
              <w:bidi w:val="0"/>
              <w:adjustRightInd/>
              <w:spacing w:line="32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29</w:t>
            </w:r>
          </w:p>
        </w:tc>
        <w:tc>
          <w:tcPr>
            <w:tcW w:w="552" w:type="dxa"/>
            <w:vMerge w:val="continue"/>
            <w:vAlign w:val="center"/>
          </w:tcPr>
          <w:p w14:paraId="4E07AA19">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79E167BC">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01709</w:t>
            </w:r>
          </w:p>
        </w:tc>
        <w:tc>
          <w:tcPr>
            <w:tcW w:w="4918" w:type="dxa"/>
            <w:vAlign w:val="center"/>
          </w:tcPr>
          <w:p w14:paraId="34FD668E">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质量管理部门应当负责药品质量查询。</w:t>
            </w:r>
          </w:p>
        </w:tc>
        <w:tc>
          <w:tcPr>
            <w:tcW w:w="7140" w:type="dxa"/>
            <w:vMerge w:val="continue"/>
            <w:vAlign w:val="center"/>
          </w:tcPr>
          <w:p w14:paraId="14654B29">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p>
        </w:tc>
      </w:tr>
      <w:tr w14:paraId="63A32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19" w:type="dxa"/>
            <w:vAlign w:val="center"/>
          </w:tcPr>
          <w:p w14:paraId="0063E719">
            <w:pPr>
              <w:keepNext w:val="0"/>
              <w:keepLines w:val="0"/>
              <w:pageBreakBefore w:val="0"/>
              <w:kinsoku/>
              <w:wordWrap/>
              <w:overflowPunct/>
              <w:topLinePunct w:val="0"/>
              <w:autoSpaceDE w:val="0"/>
              <w:autoSpaceDN w:val="0"/>
              <w:bidi w:val="0"/>
              <w:adjustRightInd/>
              <w:spacing w:line="32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30</w:t>
            </w:r>
          </w:p>
        </w:tc>
        <w:tc>
          <w:tcPr>
            <w:tcW w:w="552" w:type="dxa"/>
            <w:vMerge w:val="continue"/>
            <w:vAlign w:val="center"/>
          </w:tcPr>
          <w:p w14:paraId="72BA0F9C">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73181101">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*01710</w:t>
            </w:r>
          </w:p>
        </w:tc>
        <w:tc>
          <w:tcPr>
            <w:tcW w:w="4918" w:type="dxa"/>
            <w:vAlign w:val="center"/>
          </w:tcPr>
          <w:p w14:paraId="749C4EFF">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质量管理部门应当负责指导设定计算机系统质量控制功能，负责计算机系统操作权限的审核和质量管理基础数据的建立及更新。</w:t>
            </w:r>
          </w:p>
        </w:tc>
        <w:tc>
          <w:tcPr>
            <w:tcW w:w="7140" w:type="dxa"/>
            <w:vAlign w:val="center"/>
          </w:tcPr>
          <w:p w14:paraId="041D64D1">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eastAsia="宋体" w:cs="宋体"/>
                <w:color w:val="auto"/>
                <w:sz w:val="24"/>
                <w:szCs w:val="24"/>
                <w:highlight w:val="none"/>
              </w:rPr>
              <w:t>查阅质量管理部门职责和质量管理部门人员职责是否包含该内容。</w:t>
            </w:r>
          </w:p>
          <w:p w14:paraId="2F7D69DA">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查阅计算机系统权限分配表，确认质量管理部门是否审核并控制关键操作权限（如数据修改、删除）。</w:t>
            </w:r>
          </w:p>
          <w:p w14:paraId="1D99AD20">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2.核实质量管理基础数据（如药品信息、供应商资质）建立和更新是否在质量管理部门。</w:t>
            </w:r>
          </w:p>
        </w:tc>
      </w:tr>
      <w:tr w14:paraId="3F793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19" w:type="dxa"/>
            <w:vAlign w:val="center"/>
          </w:tcPr>
          <w:p w14:paraId="0682D331">
            <w:pPr>
              <w:keepNext w:val="0"/>
              <w:keepLines w:val="0"/>
              <w:pageBreakBefore w:val="0"/>
              <w:kinsoku/>
              <w:wordWrap/>
              <w:overflowPunct/>
              <w:topLinePunct w:val="0"/>
              <w:autoSpaceDE w:val="0"/>
              <w:autoSpaceDN w:val="0"/>
              <w:bidi w:val="0"/>
              <w:adjustRightInd/>
              <w:spacing w:line="32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31</w:t>
            </w:r>
          </w:p>
        </w:tc>
        <w:tc>
          <w:tcPr>
            <w:tcW w:w="552" w:type="dxa"/>
            <w:vMerge w:val="continue"/>
            <w:vAlign w:val="center"/>
          </w:tcPr>
          <w:p w14:paraId="30EDFEB0">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4D777501">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*01711</w:t>
            </w:r>
          </w:p>
        </w:tc>
        <w:tc>
          <w:tcPr>
            <w:tcW w:w="4918" w:type="dxa"/>
            <w:vAlign w:val="center"/>
          </w:tcPr>
          <w:p w14:paraId="46BD6066">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质量管理部门应当组织验证、校准相关设施设备。</w:t>
            </w:r>
          </w:p>
        </w:tc>
        <w:tc>
          <w:tcPr>
            <w:tcW w:w="7140" w:type="dxa"/>
            <w:vAlign w:val="center"/>
          </w:tcPr>
          <w:p w14:paraId="33815CDF">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查阅质量管理部门职责和质量管理部门人员职责是否包含该内容。</w:t>
            </w:r>
          </w:p>
        </w:tc>
      </w:tr>
      <w:tr w14:paraId="27A69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19" w:type="dxa"/>
            <w:vAlign w:val="center"/>
          </w:tcPr>
          <w:p w14:paraId="5CB35DFD">
            <w:pPr>
              <w:keepNext w:val="0"/>
              <w:keepLines w:val="0"/>
              <w:pageBreakBefore w:val="0"/>
              <w:kinsoku/>
              <w:wordWrap/>
              <w:overflowPunct/>
              <w:topLinePunct w:val="0"/>
              <w:autoSpaceDE w:val="0"/>
              <w:autoSpaceDN w:val="0"/>
              <w:bidi w:val="0"/>
              <w:adjustRightInd/>
              <w:spacing w:line="32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32</w:t>
            </w:r>
          </w:p>
        </w:tc>
        <w:tc>
          <w:tcPr>
            <w:tcW w:w="552" w:type="dxa"/>
            <w:vMerge w:val="continue"/>
            <w:vAlign w:val="center"/>
          </w:tcPr>
          <w:p w14:paraId="6059B83E">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3F43A28E">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01712</w:t>
            </w:r>
          </w:p>
        </w:tc>
        <w:tc>
          <w:tcPr>
            <w:tcW w:w="4918" w:type="dxa"/>
            <w:vAlign w:val="center"/>
          </w:tcPr>
          <w:p w14:paraId="52C01873">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质量管理部门应当负责药品召回的管理。</w:t>
            </w:r>
          </w:p>
        </w:tc>
        <w:tc>
          <w:tcPr>
            <w:tcW w:w="7140" w:type="dxa"/>
            <w:vAlign w:val="center"/>
          </w:tcPr>
          <w:p w14:paraId="10FAD120">
            <w:pPr>
              <w:keepNext w:val="0"/>
              <w:keepLines w:val="0"/>
              <w:pageBreakBefore w:val="0"/>
              <w:widowControl/>
              <w:tabs>
                <w:tab w:val="left" w:pos="251"/>
              </w:tabs>
              <w:kinsoku/>
              <w:wordWrap/>
              <w:overflowPunct/>
              <w:topLinePunct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查阅质量管理部门职责和质量管理部门人员职责是否包含该内容</w:t>
            </w:r>
          </w:p>
        </w:tc>
      </w:tr>
      <w:tr w14:paraId="3E983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vAlign w:val="center"/>
          </w:tcPr>
          <w:p w14:paraId="37A6797B">
            <w:pPr>
              <w:keepNext w:val="0"/>
              <w:keepLines w:val="0"/>
              <w:pageBreakBefore w:val="0"/>
              <w:kinsoku/>
              <w:wordWrap/>
              <w:overflowPunct/>
              <w:topLinePunct w:val="0"/>
              <w:autoSpaceDE w:val="0"/>
              <w:autoSpaceDN w:val="0"/>
              <w:bidi w:val="0"/>
              <w:adjustRightInd/>
              <w:spacing w:line="32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33</w:t>
            </w:r>
          </w:p>
        </w:tc>
        <w:tc>
          <w:tcPr>
            <w:tcW w:w="552" w:type="dxa"/>
            <w:vMerge w:val="continue"/>
            <w:vAlign w:val="center"/>
          </w:tcPr>
          <w:p w14:paraId="701BAAA1">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7BC860A9">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01713</w:t>
            </w:r>
          </w:p>
        </w:tc>
        <w:tc>
          <w:tcPr>
            <w:tcW w:w="4918" w:type="dxa"/>
            <w:vAlign w:val="center"/>
          </w:tcPr>
          <w:p w14:paraId="6788663A">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质量管理部门应当负责药品不良反应的报告。</w:t>
            </w:r>
          </w:p>
        </w:tc>
        <w:tc>
          <w:tcPr>
            <w:tcW w:w="7140" w:type="dxa"/>
            <w:vAlign w:val="center"/>
          </w:tcPr>
          <w:p w14:paraId="7E97EB25">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eastAsia="宋体" w:cs="宋体"/>
                <w:color w:val="auto"/>
                <w:sz w:val="24"/>
                <w:szCs w:val="24"/>
                <w:highlight w:val="none"/>
              </w:rPr>
              <w:t>查阅质量管理部门职责和质量管理部门人员职责是否包含该内容</w:t>
            </w:r>
          </w:p>
          <w:p w14:paraId="2D1026EF">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查看企业任命文件，核查是否任命人员负责不良反应。</w:t>
            </w:r>
          </w:p>
          <w:p w14:paraId="5364CBEE">
            <w:pPr>
              <w:pStyle w:val="2"/>
              <w:keepNext w:val="0"/>
              <w:keepLines w:val="0"/>
              <w:pageBreakBefore w:val="0"/>
              <w:tabs>
                <w:tab w:val="left" w:pos="251"/>
              </w:tabs>
              <w:kinsoku/>
              <w:wordWrap/>
              <w:overflowPunct/>
              <w:topLinePunct w:val="0"/>
              <w:bidi w:val="0"/>
              <w:adjustRightInd/>
              <w:spacing w:line="320" w:lineRule="exact"/>
              <w:jc w:val="both"/>
              <w:textAlignment w:val="auto"/>
              <w:rPr>
                <w:rFonts w:hint="eastAsia" w:ascii="宋体" w:hAnsi="宋体" w:eastAsia="宋体" w:cs="宋体"/>
                <w:color w:val="auto"/>
                <w:sz w:val="24"/>
                <w:szCs w:val="24"/>
                <w:highlight w:val="none"/>
              </w:rPr>
            </w:pPr>
          </w:p>
        </w:tc>
      </w:tr>
      <w:tr w14:paraId="70B93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vAlign w:val="center"/>
          </w:tcPr>
          <w:p w14:paraId="6FAE9845">
            <w:pPr>
              <w:keepNext w:val="0"/>
              <w:keepLines w:val="0"/>
              <w:pageBreakBefore w:val="0"/>
              <w:kinsoku/>
              <w:wordWrap/>
              <w:overflowPunct/>
              <w:topLinePunct w:val="0"/>
              <w:autoSpaceDE w:val="0"/>
              <w:autoSpaceDN w:val="0"/>
              <w:bidi w:val="0"/>
              <w:adjustRightInd/>
              <w:spacing w:line="32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34</w:t>
            </w:r>
          </w:p>
        </w:tc>
        <w:tc>
          <w:tcPr>
            <w:tcW w:w="552" w:type="dxa"/>
            <w:vMerge w:val="continue"/>
            <w:vAlign w:val="center"/>
          </w:tcPr>
          <w:p w14:paraId="55DAA96E">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1D1CC029">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*01714</w:t>
            </w:r>
          </w:p>
        </w:tc>
        <w:tc>
          <w:tcPr>
            <w:tcW w:w="4918" w:type="dxa"/>
            <w:vAlign w:val="center"/>
          </w:tcPr>
          <w:p w14:paraId="772E937D">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质量管理部门应当组织质量管理体系的内审和风险评估。</w:t>
            </w:r>
          </w:p>
        </w:tc>
        <w:tc>
          <w:tcPr>
            <w:tcW w:w="7140" w:type="dxa"/>
            <w:vAlign w:val="center"/>
          </w:tcPr>
          <w:p w14:paraId="0CB396FD">
            <w:pPr>
              <w:keepNext w:val="0"/>
              <w:keepLines w:val="0"/>
              <w:pageBreakBefore w:val="0"/>
              <w:numPr>
                <w:ilvl w:val="0"/>
                <w:numId w:val="0"/>
              </w:numPr>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查阅质量管理部门职责和质量管理部门人员职责是否包含该内容</w:t>
            </w:r>
          </w:p>
          <w:p w14:paraId="7BF62CAF">
            <w:pPr>
              <w:keepNext w:val="0"/>
              <w:keepLines w:val="0"/>
              <w:pageBreakBefore w:val="0"/>
              <w:numPr>
                <w:ilvl w:val="0"/>
                <w:numId w:val="0"/>
              </w:numPr>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查阅企业质量管理体系的内审资料，是否由质量管理部门组织；</w:t>
            </w:r>
          </w:p>
          <w:p w14:paraId="492D36AF">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3.</w:t>
            </w:r>
            <w:r>
              <w:rPr>
                <w:rFonts w:hint="eastAsia" w:ascii="宋体" w:hAnsi="宋体" w:eastAsia="宋体" w:cs="宋体"/>
                <w:color w:val="auto"/>
                <w:sz w:val="24"/>
                <w:szCs w:val="24"/>
                <w:highlight w:val="none"/>
              </w:rPr>
              <w:t>查阅企业质量管理体系的风险评估资料，是否由质量管理部门组织；</w:t>
            </w:r>
          </w:p>
        </w:tc>
      </w:tr>
      <w:tr w14:paraId="3DD9B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vAlign w:val="center"/>
          </w:tcPr>
          <w:p w14:paraId="538235B7">
            <w:pPr>
              <w:keepNext w:val="0"/>
              <w:keepLines w:val="0"/>
              <w:pageBreakBefore w:val="0"/>
              <w:kinsoku/>
              <w:wordWrap/>
              <w:overflowPunct/>
              <w:topLinePunct w:val="0"/>
              <w:autoSpaceDE w:val="0"/>
              <w:autoSpaceDN w:val="0"/>
              <w:bidi w:val="0"/>
              <w:adjustRightInd/>
              <w:spacing w:line="32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35</w:t>
            </w:r>
          </w:p>
        </w:tc>
        <w:tc>
          <w:tcPr>
            <w:tcW w:w="552" w:type="dxa"/>
            <w:vMerge w:val="continue"/>
            <w:vAlign w:val="center"/>
          </w:tcPr>
          <w:p w14:paraId="0E3305CB">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71FB2838">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01715</w:t>
            </w:r>
          </w:p>
        </w:tc>
        <w:tc>
          <w:tcPr>
            <w:tcW w:w="4918" w:type="dxa"/>
            <w:vAlign w:val="center"/>
          </w:tcPr>
          <w:p w14:paraId="476412CB">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质量管理部门应当组织对药品供货单位及购货单位质量管理体系和服务质量的考察和评价。</w:t>
            </w:r>
          </w:p>
        </w:tc>
        <w:tc>
          <w:tcPr>
            <w:tcW w:w="7140" w:type="dxa"/>
            <w:vMerge w:val="restart"/>
            <w:vAlign w:val="center"/>
          </w:tcPr>
          <w:p w14:paraId="1C45C3CE">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查阅质量管理部门职责和质量管理部门人员职责是否包含该内容。</w:t>
            </w:r>
          </w:p>
        </w:tc>
      </w:tr>
      <w:tr w14:paraId="34612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vAlign w:val="center"/>
          </w:tcPr>
          <w:p w14:paraId="6DF2C785">
            <w:pPr>
              <w:keepNext w:val="0"/>
              <w:keepLines w:val="0"/>
              <w:pageBreakBefore w:val="0"/>
              <w:kinsoku/>
              <w:wordWrap/>
              <w:overflowPunct/>
              <w:topLinePunct w:val="0"/>
              <w:autoSpaceDE w:val="0"/>
              <w:autoSpaceDN w:val="0"/>
              <w:bidi w:val="0"/>
              <w:adjustRightInd/>
              <w:spacing w:line="32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36</w:t>
            </w:r>
          </w:p>
        </w:tc>
        <w:tc>
          <w:tcPr>
            <w:tcW w:w="552" w:type="dxa"/>
            <w:vMerge w:val="continue"/>
            <w:vAlign w:val="center"/>
          </w:tcPr>
          <w:p w14:paraId="2736D397">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105507E6">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*01716</w:t>
            </w:r>
          </w:p>
        </w:tc>
        <w:tc>
          <w:tcPr>
            <w:tcW w:w="4918" w:type="dxa"/>
            <w:vAlign w:val="center"/>
          </w:tcPr>
          <w:p w14:paraId="093ACD1E">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质量管理部门应当组织对被委托运输的承运方运输条件和质量保障能力的审查。</w:t>
            </w:r>
          </w:p>
        </w:tc>
        <w:tc>
          <w:tcPr>
            <w:tcW w:w="7140" w:type="dxa"/>
            <w:vMerge w:val="continue"/>
            <w:vAlign w:val="center"/>
          </w:tcPr>
          <w:p w14:paraId="338E9FC7">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p>
        </w:tc>
      </w:tr>
      <w:tr w14:paraId="2AF87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vAlign w:val="center"/>
          </w:tcPr>
          <w:p w14:paraId="0528AF39">
            <w:pPr>
              <w:keepNext w:val="0"/>
              <w:keepLines w:val="0"/>
              <w:pageBreakBefore w:val="0"/>
              <w:kinsoku/>
              <w:wordWrap/>
              <w:overflowPunct/>
              <w:topLinePunct w:val="0"/>
              <w:autoSpaceDE w:val="0"/>
              <w:autoSpaceDN w:val="0"/>
              <w:bidi w:val="0"/>
              <w:adjustRightInd/>
              <w:spacing w:line="32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37</w:t>
            </w:r>
          </w:p>
        </w:tc>
        <w:tc>
          <w:tcPr>
            <w:tcW w:w="552" w:type="dxa"/>
            <w:vMerge w:val="continue"/>
            <w:vAlign w:val="center"/>
          </w:tcPr>
          <w:p w14:paraId="24736EF9">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2F321A76">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01717</w:t>
            </w:r>
          </w:p>
        </w:tc>
        <w:tc>
          <w:tcPr>
            <w:tcW w:w="4918" w:type="dxa"/>
            <w:vAlign w:val="center"/>
          </w:tcPr>
          <w:p w14:paraId="07243100">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质量管理部门应当协助开展质量管理教育和培训。</w:t>
            </w:r>
          </w:p>
        </w:tc>
        <w:tc>
          <w:tcPr>
            <w:tcW w:w="7140" w:type="dxa"/>
            <w:vMerge w:val="continue"/>
            <w:vAlign w:val="center"/>
          </w:tcPr>
          <w:p w14:paraId="688DC3C7">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p>
        </w:tc>
      </w:tr>
      <w:tr w14:paraId="765D8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exact"/>
          <w:jc w:val="center"/>
        </w:trPr>
        <w:tc>
          <w:tcPr>
            <w:tcW w:w="619" w:type="dxa"/>
            <w:vAlign w:val="center"/>
          </w:tcPr>
          <w:p w14:paraId="25FDA2A7">
            <w:pPr>
              <w:keepNext w:val="0"/>
              <w:keepLines w:val="0"/>
              <w:pageBreakBefore w:val="0"/>
              <w:kinsoku/>
              <w:wordWrap/>
              <w:overflowPunct/>
              <w:topLinePunct w:val="0"/>
              <w:autoSpaceDE w:val="0"/>
              <w:autoSpaceDN w:val="0"/>
              <w:bidi w:val="0"/>
              <w:adjustRightInd/>
              <w:spacing w:line="32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38</w:t>
            </w:r>
          </w:p>
        </w:tc>
        <w:tc>
          <w:tcPr>
            <w:tcW w:w="552" w:type="dxa"/>
            <w:vMerge w:val="continue"/>
            <w:vAlign w:val="center"/>
          </w:tcPr>
          <w:p w14:paraId="72B98A19">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3F03ADE4">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01718</w:t>
            </w:r>
          </w:p>
        </w:tc>
        <w:tc>
          <w:tcPr>
            <w:tcW w:w="4918" w:type="dxa"/>
            <w:vAlign w:val="center"/>
          </w:tcPr>
          <w:p w14:paraId="77F07BB0">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质量管理部门应当承担其他应当由质量管理部门履行的职责。</w:t>
            </w:r>
          </w:p>
        </w:tc>
        <w:tc>
          <w:tcPr>
            <w:tcW w:w="7140" w:type="dxa"/>
            <w:vMerge w:val="continue"/>
            <w:vAlign w:val="center"/>
          </w:tcPr>
          <w:p w14:paraId="53ABB172">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p>
        </w:tc>
      </w:tr>
      <w:tr w14:paraId="38218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619" w:type="dxa"/>
            <w:shd w:val="clear" w:color="auto" w:fill="auto"/>
            <w:vAlign w:val="center"/>
          </w:tcPr>
          <w:p w14:paraId="487EA92A">
            <w:pPr>
              <w:keepNext w:val="0"/>
              <w:keepLines w:val="0"/>
              <w:pageBreakBefore w:val="0"/>
              <w:kinsoku/>
              <w:wordWrap/>
              <w:overflowPunct/>
              <w:topLinePunct w:val="0"/>
              <w:autoSpaceDE w:val="0"/>
              <w:autoSpaceDN w:val="0"/>
              <w:bidi w:val="0"/>
              <w:adjustRightInd/>
              <w:spacing w:line="320" w:lineRule="exact"/>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39</w:t>
            </w:r>
          </w:p>
        </w:tc>
        <w:tc>
          <w:tcPr>
            <w:tcW w:w="552" w:type="dxa"/>
            <w:vMerge w:val="restart"/>
            <w:vAlign w:val="center"/>
          </w:tcPr>
          <w:p w14:paraId="459D1160">
            <w:pPr>
              <w:keepNext w:val="0"/>
              <w:keepLines w:val="0"/>
              <w:pageBreakBefore w:val="0"/>
              <w:kinsoku/>
              <w:wordWrap/>
              <w:overflowPunct/>
              <w:topLinePunct w:val="0"/>
              <w:autoSpaceDE w:val="0"/>
              <w:autoSpaceDN w:val="0"/>
              <w:bidi w:val="0"/>
              <w:adjustRightIn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w:t>
            </w:r>
          </w:p>
          <w:p w14:paraId="6573EFCC">
            <w:pPr>
              <w:keepNext w:val="0"/>
              <w:keepLines w:val="0"/>
              <w:pageBreakBefore w:val="0"/>
              <w:kinsoku/>
              <w:wordWrap/>
              <w:overflowPunct/>
              <w:topLinePunct w:val="0"/>
              <w:autoSpaceDE w:val="0"/>
              <w:autoSpaceDN w:val="0"/>
              <w:bidi w:val="0"/>
              <w:adjustRightIn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员</w:t>
            </w:r>
          </w:p>
          <w:p w14:paraId="7C2F11BD">
            <w:pPr>
              <w:keepNext w:val="0"/>
              <w:keepLines w:val="0"/>
              <w:pageBreakBefore w:val="0"/>
              <w:kinsoku/>
              <w:wordWrap/>
              <w:overflowPunct/>
              <w:topLinePunct w:val="0"/>
              <w:autoSpaceDE w:val="0"/>
              <w:autoSpaceDN w:val="0"/>
              <w:bidi w:val="0"/>
              <w:adjustRightIn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w:t>
            </w:r>
          </w:p>
          <w:p w14:paraId="0EED8EEB">
            <w:pPr>
              <w:keepNext w:val="0"/>
              <w:keepLines w:val="0"/>
              <w:pageBreakBefore w:val="0"/>
              <w:kinsoku/>
              <w:wordWrap/>
              <w:overflowPunct/>
              <w:topLinePunct w:val="0"/>
              <w:autoSpaceDE w:val="0"/>
              <w:autoSpaceDN w:val="0"/>
              <w:bidi w:val="0"/>
              <w:adjustRightIn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培</w:t>
            </w:r>
          </w:p>
          <w:p w14:paraId="65AAA5C9">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训</w:t>
            </w:r>
          </w:p>
        </w:tc>
        <w:tc>
          <w:tcPr>
            <w:tcW w:w="1127" w:type="dxa"/>
            <w:vAlign w:val="center"/>
          </w:tcPr>
          <w:p w14:paraId="2223B9A3">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01801</w:t>
            </w:r>
          </w:p>
        </w:tc>
        <w:tc>
          <w:tcPr>
            <w:tcW w:w="4918" w:type="dxa"/>
            <w:vAlign w:val="center"/>
          </w:tcPr>
          <w:p w14:paraId="05DB9616">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企业从事药品经营和质量管理工作的人员，应当符合有关法律法规及《规范》规定的资格要求，不得有相关法律法规禁止从业的情形。</w:t>
            </w:r>
          </w:p>
        </w:tc>
        <w:tc>
          <w:tcPr>
            <w:tcW w:w="7140" w:type="dxa"/>
            <w:vAlign w:val="center"/>
          </w:tcPr>
          <w:p w14:paraId="1677232E">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对照企业人员花名册，查阅相关岗位从业人员是否有禁止从业情况的自我声明。</w:t>
            </w:r>
          </w:p>
        </w:tc>
      </w:tr>
      <w:tr w14:paraId="55900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619" w:type="dxa"/>
            <w:shd w:val="clear" w:color="auto" w:fill="auto"/>
            <w:vAlign w:val="center"/>
          </w:tcPr>
          <w:p w14:paraId="1B15A5AE">
            <w:pPr>
              <w:keepNext w:val="0"/>
              <w:keepLines w:val="0"/>
              <w:pageBreakBefore w:val="0"/>
              <w:kinsoku/>
              <w:wordWrap/>
              <w:overflowPunct/>
              <w:topLinePunct w:val="0"/>
              <w:autoSpaceDE w:val="0"/>
              <w:autoSpaceDN w:val="0"/>
              <w:bidi w:val="0"/>
              <w:adjustRightInd/>
              <w:spacing w:line="320" w:lineRule="exact"/>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40</w:t>
            </w:r>
          </w:p>
        </w:tc>
        <w:tc>
          <w:tcPr>
            <w:tcW w:w="552" w:type="dxa"/>
            <w:vMerge w:val="continue"/>
            <w:vAlign w:val="center"/>
          </w:tcPr>
          <w:p w14:paraId="516BE14F">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2D19B0AB">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*01901</w:t>
            </w:r>
          </w:p>
        </w:tc>
        <w:tc>
          <w:tcPr>
            <w:tcW w:w="4918" w:type="dxa"/>
            <w:vAlign w:val="center"/>
          </w:tcPr>
          <w:p w14:paraId="4A07A2FA">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主要负责人</w:t>
            </w:r>
            <w:r>
              <w:rPr>
                <w:rFonts w:hint="eastAsia" w:ascii="宋体" w:hAnsi="宋体" w:eastAsia="宋体" w:cs="宋体"/>
                <w:color w:val="auto"/>
                <w:sz w:val="24"/>
                <w:szCs w:val="24"/>
                <w:highlight w:val="none"/>
              </w:rPr>
              <w:t>应当具有大学专科以上学历或者中级以上专业技术职称；应当经过基本的药学专业知识培训，熟悉有关药品管理的法律法规及《规范》。</w:t>
            </w:r>
          </w:p>
        </w:tc>
        <w:tc>
          <w:tcPr>
            <w:tcW w:w="7140" w:type="dxa"/>
            <w:vAlign w:val="center"/>
          </w:tcPr>
          <w:p w14:paraId="70827A6D">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eastAsia="宋体" w:cs="宋体"/>
                <w:color w:val="auto"/>
                <w:sz w:val="24"/>
                <w:szCs w:val="24"/>
                <w:highlight w:val="none"/>
              </w:rPr>
              <w:t>检查主要负责人是否和申请许可内容一致。</w:t>
            </w:r>
          </w:p>
          <w:p w14:paraId="51EE6B7B">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查阅主要负责人的学历证书或中级以上专业技术职称证书原件，是否能满足该</w:t>
            </w:r>
            <w:r>
              <w:rPr>
                <w:rFonts w:hint="eastAsia" w:ascii="宋体" w:hAnsi="宋体" w:eastAsia="宋体" w:cs="宋体"/>
                <w:color w:val="auto"/>
                <w:sz w:val="24"/>
                <w:szCs w:val="24"/>
                <w:highlight w:val="none"/>
                <w:lang w:val="en-US" w:eastAsia="zh-CN"/>
              </w:rPr>
              <w:t>要求</w:t>
            </w:r>
            <w:r>
              <w:rPr>
                <w:rFonts w:hint="eastAsia" w:ascii="宋体" w:hAnsi="宋体" w:eastAsia="宋体" w:cs="宋体"/>
                <w:color w:val="auto"/>
                <w:sz w:val="24"/>
                <w:szCs w:val="24"/>
                <w:highlight w:val="none"/>
              </w:rPr>
              <w:t>。</w:t>
            </w:r>
          </w:p>
          <w:p w14:paraId="0D242E47">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3.</w:t>
            </w:r>
            <w:r>
              <w:rPr>
                <w:rFonts w:hint="eastAsia" w:ascii="宋体" w:hAnsi="宋体" w:eastAsia="宋体" w:cs="宋体"/>
                <w:color w:val="auto"/>
                <w:sz w:val="24"/>
                <w:szCs w:val="24"/>
                <w:highlight w:val="none"/>
              </w:rPr>
              <w:t>查阅其参加药学专业知识培训的记录（如培训证书、课程内容、考核结果），确认培训内容涵盖《药品管理法》《药品经营和使用质量监管管理办法》《规范》等法规。</w:t>
            </w:r>
          </w:p>
          <w:p w14:paraId="767F331F">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4.</w:t>
            </w:r>
            <w:r>
              <w:rPr>
                <w:rFonts w:hint="eastAsia" w:ascii="宋体" w:hAnsi="宋体" w:eastAsia="宋体" w:cs="宋体"/>
                <w:color w:val="auto"/>
                <w:sz w:val="24"/>
                <w:szCs w:val="24"/>
                <w:highlight w:val="none"/>
              </w:rPr>
              <w:t>通过现场提问或笔试，考核其是否熟悉药品管理相关法律法规及《规范》的核心条款。</w:t>
            </w:r>
          </w:p>
        </w:tc>
      </w:tr>
      <w:tr w14:paraId="54F9B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shd w:val="clear" w:color="auto" w:fill="auto"/>
            <w:vAlign w:val="center"/>
          </w:tcPr>
          <w:p w14:paraId="586BC724">
            <w:pPr>
              <w:keepNext w:val="0"/>
              <w:keepLines w:val="0"/>
              <w:pageBreakBefore w:val="0"/>
              <w:kinsoku/>
              <w:wordWrap/>
              <w:overflowPunct/>
              <w:topLinePunct w:val="0"/>
              <w:autoSpaceDE w:val="0"/>
              <w:autoSpaceDN w:val="0"/>
              <w:bidi w:val="0"/>
              <w:adjustRightInd/>
              <w:spacing w:line="320" w:lineRule="exact"/>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41</w:t>
            </w:r>
          </w:p>
        </w:tc>
        <w:tc>
          <w:tcPr>
            <w:tcW w:w="552" w:type="dxa"/>
            <w:vMerge w:val="continue"/>
            <w:vAlign w:val="center"/>
          </w:tcPr>
          <w:p w14:paraId="0EF395FA">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224347D6">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*02001</w:t>
            </w:r>
          </w:p>
        </w:tc>
        <w:tc>
          <w:tcPr>
            <w:tcW w:w="4918" w:type="dxa"/>
            <w:vAlign w:val="center"/>
          </w:tcPr>
          <w:p w14:paraId="484F8E24">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企业质量负责人应当具有大学本科以上学历、执业药师资格和3年以上药品经营质量管理工作经历，在质量管理工作中具备正确判断和保障实施的能力。</w:t>
            </w:r>
          </w:p>
        </w:tc>
        <w:tc>
          <w:tcPr>
            <w:tcW w:w="7140" w:type="dxa"/>
            <w:vAlign w:val="center"/>
          </w:tcPr>
          <w:p w14:paraId="3EF13E5B">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eastAsia="宋体" w:cs="宋体"/>
                <w:color w:val="auto"/>
                <w:sz w:val="24"/>
                <w:szCs w:val="24"/>
                <w:highlight w:val="none"/>
              </w:rPr>
              <w:t>核实质量负责人是否和申请许可内容一致。</w:t>
            </w:r>
          </w:p>
          <w:p w14:paraId="6A500CC9">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查阅质量负责人的学历证书（大学本科以上）、原件。</w:t>
            </w:r>
          </w:p>
          <w:p w14:paraId="593799B4">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3.</w:t>
            </w:r>
            <w:r>
              <w:rPr>
                <w:rFonts w:hint="eastAsia" w:ascii="宋体" w:hAnsi="宋体" w:eastAsia="宋体" w:cs="宋体"/>
                <w:color w:val="auto"/>
                <w:sz w:val="24"/>
                <w:szCs w:val="24"/>
                <w:highlight w:val="none"/>
              </w:rPr>
              <w:t>查阅该人员现注册情况，是否仍注册在其他公司</w:t>
            </w:r>
          </w:p>
          <w:p w14:paraId="38359A09">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4.</w:t>
            </w:r>
            <w:r>
              <w:rPr>
                <w:rFonts w:hint="eastAsia" w:ascii="宋体" w:hAnsi="宋体" w:eastAsia="宋体" w:cs="宋体"/>
                <w:color w:val="auto"/>
                <w:sz w:val="24"/>
                <w:szCs w:val="24"/>
                <w:highlight w:val="none"/>
              </w:rPr>
              <w:t>查阅其3年以上药品经营质量管理工作的证明（如劳动合同、岗位职责文件、历史工作记录）。</w:t>
            </w:r>
          </w:p>
          <w:p w14:paraId="1B55A686">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5.</w:t>
            </w:r>
            <w:r>
              <w:rPr>
                <w:rFonts w:hint="eastAsia" w:ascii="宋体" w:hAnsi="宋体" w:eastAsia="宋体" w:cs="宋体"/>
                <w:color w:val="auto"/>
                <w:sz w:val="24"/>
                <w:szCs w:val="24"/>
                <w:highlight w:val="none"/>
              </w:rPr>
              <w:t>评估其在质量管理中的实际能力，可通过现场询问或现场模拟案例考核其判断和保障实施能力。</w:t>
            </w:r>
          </w:p>
        </w:tc>
      </w:tr>
      <w:tr w14:paraId="4EC2E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9" w:type="dxa"/>
            <w:shd w:val="clear" w:color="auto" w:fill="auto"/>
            <w:vAlign w:val="center"/>
          </w:tcPr>
          <w:p w14:paraId="41AAB8AB">
            <w:pPr>
              <w:keepNext w:val="0"/>
              <w:keepLines w:val="0"/>
              <w:pageBreakBefore w:val="0"/>
              <w:kinsoku/>
              <w:wordWrap/>
              <w:overflowPunct/>
              <w:topLinePunct w:val="0"/>
              <w:autoSpaceDE w:val="0"/>
              <w:autoSpaceDN w:val="0"/>
              <w:bidi w:val="0"/>
              <w:adjustRightInd/>
              <w:spacing w:line="320" w:lineRule="exact"/>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42</w:t>
            </w:r>
          </w:p>
        </w:tc>
        <w:tc>
          <w:tcPr>
            <w:tcW w:w="552" w:type="dxa"/>
            <w:vMerge w:val="continue"/>
            <w:vAlign w:val="center"/>
          </w:tcPr>
          <w:p w14:paraId="2F4E1C37">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18D7C9D3">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*02101</w:t>
            </w:r>
          </w:p>
        </w:tc>
        <w:tc>
          <w:tcPr>
            <w:tcW w:w="4918" w:type="dxa"/>
            <w:vAlign w:val="center"/>
          </w:tcPr>
          <w:p w14:paraId="6FC13A21">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企业质量管理部门负责人应当具有执业药师资格和3年以上药品经营质量管理工作经历，能独立解决经营过程中的质量问题。</w:t>
            </w:r>
          </w:p>
        </w:tc>
        <w:tc>
          <w:tcPr>
            <w:tcW w:w="7140" w:type="dxa"/>
            <w:vAlign w:val="center"/>
          </w:tcPr>
          <w:p w14:paraId="1C2110B8">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eastAsia="宋体" w:cs="宋体"/>
                <w:color w:val="auto"/>
                <w:sz w:val="24"/>
                <w:szCs w:val="24"/>
                <w:highlight w:val="none"/>
              </w:rPr>
              <w:t>查阅质量</w:t>
            </w:r>
            <w:r>
              <w:rPr>
                <w:rFonts w:hint="eastAsia" w:ascii="宋体" w:hAnsi="宋体" w:cs="宋体"/>
                <w:color w:val="auto"/>
                <w:sz w:val="24"/>
                <w:szCs w:val="24"/>
                <w:highlight w:val="none"/>
                <w:lang w:eastAsia="zh-CN"/>
              </w:rPr>
              <w:t>管理部门</w:t>
            </w:r>
            <w:r>
              <w:rPr>
                <w:rFonts w:hint="eastAsia" w:ascii="宋体" w:hAnsi="宋体" w:eastAsia="宋体" w:cs="宋体"/>
                <w:color w:val="auto"/>
                <w:sz w:val="24"/>
                <w:szCs w:val="24"/>
                <w:highlight w:val="none"/>
              </w:rPr>
              <w:t>负责人的学历证书原件。</w:t>
            </w:r>
          </w:p>
          <w:p w14:paraId="1F119C15">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查阅该人员现注册情况，是否未注册在其他公司。</w:t>
            </w:r>
          </w:p>
          <w:p w14:paraId="4D18E819">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3.</w:t>
            </w:r>
            <w:r>
              <w:rPr>
                <w:rFonts w:hint="eastAsia" w:ascii="宋体" w:hAnsi="宋体" w:eastAsia="宋体" w:cs="宋体"/>
                <w:color w:val="auto"/>
                <w:sz w:val="24"/>
                <w:szCs w:val="24"/>
                <w:highlight w:val="none"/>
              </w:rPr>
              <w:t>检查质量管理部门负责人的执业药师注册证及3年以上相关工作证明（如任职文件、离职记录）。</w:t>
            </w:r>
          </w:p>
          <w:p w14:paraId="14DAF53A">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4.</w:t>
            </w:r>
            <w:r>
              <w:rPr>
                <w:rFonts w:hint="eastAsia" w:ascii="宋体" w:hAnsi="宋体" w:eastAsia="宋体" w:cs="宋体"/>
                <w:color w:val="auto"/>
                <w:sz w:val="24"/>
                <w:szCs w:val="24"/>
                <w:highlight w:val="none"/>
              </w:rPr>
              <w:t>评估其在质量管理中的实际能力，可通过现场询问或现场模拟案例考核其判断和保障实施能力。</w:t>
            </w:r>
          </w:p>
        </w:tc>
      </w:tr>
      <w:tr w14:paraId="03B93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619" w:type="dxa"/>
            <w:shd w:val="clear" w:color="auto" w:fill="auto"/>
            <w:vAlign w:val="center"/>
          </w:tcPr>
          <w:p w14:paraId="688CD81A">
            <w:pPr>
              <w:keepNext w:val="0"/>
              <w:keepLines w:val="0"/>
              <w:pageBreakBefore w:val="0"/>
              <w:kinsoku/>
              <w:wordWrap/>
              <w:overflowPunct/>
              <w:topLinePunct w:val="0"/>
              <w:autoSpaceDE w:val="0"/>
              <w:autoSpaceDN w:val="0"/>
              <w:bidi w:val="0"/>
              <w:adjustRightInd/>
              <w:spacing w:line="320" w:lineRule="exact"/>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43</w:t>
            </w:r>
          </w:p>
        </w:tc>
        <w:tc>
          <w:tcPr>
            <w:tcW w:w="552" w:type="dxa"/>
            <w:vMerge w:val="continue"/>
            <w:vAlign w:val="center"/>
          </w:tcPr>
          <w:p w14:paraId="08CC883F">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1A68A545">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02201</w:t>
            </w:r>
          </w:p>
        </w:tc>
        <w:tc>
          <w:tcPr>
            <w:tcW w:w="4918" w:type="dxa"/>
            <w:vAlign w:val="center"/>
          </w:tcPr>
          <w:p w14:paraId="30D7FFD0">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企业应当配备符合相关资格要求的质量管理、验收及养护等岗位人员。</w:t>
            </w:r>
          </w:p>
        </w:tc>
        <w:tc>
          <w:tcPr>
            <w:tcW w:w="7140" w:type="dxa"/>
            <w:vAlign w:val="center"/>
          </w:tcPr>
          <w:p w14:paraId="4157AAEB">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eastAsia="宋体" w:cs="宋体"/>
                <w:color w:val="auto"/>
                <w:sz w:val="24"/>
                <w:szCs w:val="24"/>
                <w:highlight w:val="none"/>
              </w:rPr>
              <w:t>查阅相关人员的学历证书或职称原件。</w:t>
            </w:r>
          </w:p>
        </w:tc>
      </w:tr>
      <w:tr w14:paraId="2AC7A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shd w:val="clear" w:color="auto" w:fill="auto"/>
            <w:vAlign w:val="center"/>
          </w:tcPr>
          <w:p w14:paraId="1D7D6CD9">
            <w:pPr>
              <w:keepNext w:val="0"/>
              <w:keepLines w:val="0"/>
              <w:pageBreakBefore w:val="0"/>
              <w:kinsoku/>
              <w:wordWrap/>
              <w:overflowPunct/>
              <w:topLinePunct w:val="0"/>
              <w:autoSpaceDE w:val="0"/>
              <w:autoSpaceDN w:val="0"/>
              <w:bidi w:val="0"/>
              <w:adjustRightInd/>
              <w:spacing w:line="320" w:lineRule="exact"/>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44</w:t>
            </w:r>
          </w:p>
        </w:tc>
        <w:tc>
          <w:tcPr>
            <w:tcW w:w="552" w:type="dxa"/>
            <w:vMerge w:val="continue"/>
            <w:vAlign w:val="center"/>
          </w:tcPr>
          <w:p w14:paraId="022E32A1">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76A55BA5">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*02202</w:t>
            </w:r>
          </w:p>
        </w:tc>
        <w:tc>
          <w:tcPr>
            <w:tcW w:w="4918" w:type="dxa"/>
            <w:vAlign w:val="center"/>
          </w:tcPr>
          <w:p w14:paraId="43A892AB">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从事质量管理工作的，应当具有药学中专或者医学、生物、化学等相关专业大学专科以上学历或者具有药学初级以上专业技术职称。</w:t>
            </w:r>
          </w:p>
        </w:tc>
        <w:tc>
          <w:tcPr>
            <w:tcW w:w="7140" w:type="dxa"/>
            <w:vMerge w:val="restart"/>
            <w:vAlign w:val="center"/>
          </w:tcPr>
          <w:p w14:paraId="2016F616">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查阅该岗位人员的学历证书或职称原件，核对其是否符合任职要求。</w:t>
            </w:r>
          </w:p>
        </w:tc>
      </w:tr>
      <w:tr w14:paraId="25780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619" w:type="dxa"/>
            <w:shd w:val="clear" w:color="auto" w:fill="auto"/>
            <w:vAlign w:val="center"/>
          </w:tcPr>
          <w:p w14:paraId="7EB63EFB">
            <w:pPr>
              <w:keepNext w:val="0"/>
              <w:keepLines w:val="0"/>
              <w:pageBreakBefore w:val="0"/>
              <w:kinsoku/>
              <w:wordWrap/>
              <w:overflowPunct/>
              <w:topLinePunct w:val="0"/>
              <w:autoSpaceDE w:val="0"/>
              <w:autoSpaceDN w:val="0"/>
              <w:bidi w:val="0"/>
              <w:adjustRightInd/>
              <w:spacing w:line="320" w:lineRule="exact"/>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45</w:t>
            </w:r>
          </w:p>
        </w:tc>
        <w:tc>
          <w:tcPr>
            <w:tcW w:w="552" w:type="dxa"/>
            <w:vMerge w:val="continue"/>
            <w:vAlign w:val="center"/>
          </w:tcPr>
          <w:p w14:paraId="03E82AD8">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3A2BBA87">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*02203</w:t>
            </w:r>
          </w:p>
        </w:tc>
        <w:tc>
          <w:tcPr>
            <w:tcW w:w="4918" w:type="dxa"/>
            <w:vAlign w:val="center"/>
          </w:tcPr>
          <w:p w14:paraId="11B6FC0E">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从事验收工作的，应当具有药学或者医学、生物、化学等相关专业中专以上学历或者具有药学初级以上专业技术职称。</w:t>
            </w:r>
          </w:p>
        </w:tc>
        <w:tc>
          <w:tcPr>
            <w:tcW w:w="7140" w:type="dxa"/>
            <w:vMerge w:val="continue"/>
            <w:vAlign w:val="center"/>
          </w:tcPr>
          <w:p w14:paraId="4E33C6C5">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p>
        </w:tc>
      </w:tr>
      <w:tr w14:paraId="637F7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shd w:val="clear" w:color="auto" w:fill="auto"/>
            <w:vAlign w:val="center"/>
          </w:tcPr>
          <w:p w14:paraId="5B18C4FD">
            <w:pPr>
              <w:keepNext w:val="0"/>
              <w:keepLines w:val="0"/>
              <w:pageBreakBefore w:val="0"/>
              <w:kinsoku/>
              <w:wordWrap/>
              <w:overflowPunct/>
              <w:topLinePunct w:val="0"/>
              <w:autoSpaceDE w:val="0"/>
              <w:autoSpaceDN w:val="0"/>
              <w:bidi w:val="0"/>
              <w:adjustRightInd/>
              <w:spacing w:line="320" w:lineRule="exact"/>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46</w:t>
            </w:r>
          </w:p>
        </w:tc>
        <w:tc>
          <w:tcPr>
            <w:tcW w:w="552" w:type="dxa"/>
            <w:vMerge w:val="continue"/>
            <w:vAlign w:val="center"/>
          </w:tcPr>
          <w:p w14:paraId="65A86414">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62C0097C">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02204</w:t>
            </w:r>
          </w:p>
        </w:tc>
        <w:tc>
          <w:tcPr>
            <w:tcW w:w="4918" w:type="dxa"/>
            <w:vAlign w:val="center"/>
          </w:tcPr>
          <w:p w14:paraId="396036BF">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从事养护工作的，应当具有药学或者医学、生物、化学等相关专业中专以上学历或者具有药学初级以上专业技术职称。</w:t>
            </w:r>
          </w:p>
        </w:tc>
        <w:tc>
          <w:tcPr>
            <w:tcW w:w="7140" w:type="dxa"/>
            <w:vMerge w:val="continue"/>
            <w:vAlign w:val="center"/>
          </w:tcPr>
          <w:p w14:paraId="5C35061D">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p>
        </w:tc>
      </w:tr>
      <w:tr w14:paraId="5F24C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shd w:val="clear" w:color="auto" w:fill="auto"/>
            <w:vAlign w:val="center"/>
          </w:tcPr>
          <w:p w14:paraId="764F443B">
            <w:pPr>
              <w:keepNext w:val="0"/>
              <w:keepLines w:val="0"/>
              <w:pageBreakBefore w:val="0"/>
              <w:kinsoku/>
              <w:wordWrap/>
              <w:overflowPunct/>
              <w:topLinePunct w:val="0"/>
              <w:autoSpaceDE w:val="0"/>
              <w:autoSpaceDN w:val="0"/>
              <w:bidi w:val="0"/>
              <w:adjustRightInd/>
              <w:spacing w:line="320" w:lineRule="exact"/>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47</w:t>
            </w:r>
          </w:p>
        </w:tc>
        <w:tc>
          <w:tcPr>
            <w:tcW w:w="552" w:type="dxa"/>
            <w:vMerge w:val="continue"/>
            <w:vAlign w:val="center"/>
          </w:tcPr>
          <w:p w14:paraId="6DF11DC7">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3D5C4A8D">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*02301</w:t>
            </w:r>
          </w:p>
        </w:tc>
        <w:tc>
          <w:tcPr>
            <w:tcW w:w="4918" w:type="dxa"/>
            <w:vAlign w:val="center"/>
          </w:tcPr>
          <w:p w14:paraId="4C10F19C">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从事质量管理、验收工作的人员应当在职在岗，不得兼职其他业务工作。</w:t>
            </w:r>
          </w:p>
        </w:tc>
        <w:tc>
          <w:tcPr>
            <w:tcW w:w="7140" w:type="dxa"/>
            <w:vAlign w:val="center"/>
          </w:tcPr>
          <w:p w14:paraId="2373B4F1">
            <w:pPr>
              <w:keepNext w:val="0"/>
              <w:keepLines w:val="0"/>
              <w:pageBreakBefore w:val="0"/>
              <w:numPr>
                <w:ilvl w:val="0"/>
                <w:numId w:val="1"/>
              </w:numPr>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查阅相关岗位人员劳动合同，工资社保发放情况。</w:t>
            </w:r>
          </w:p>
          <w:p w14:paraId="520AF71A">
            <w:pPr>
              <w:keepNext w:val="0"/>
              <w:keepLines w:val="0"/>
              <w:pageBreakBefore w:val="0"/>
              <w:numPr>
                <w:ilvl w:val="0"/>
                <w:numId w:val="1"/>
              </w:numPr>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查阅岗位职责文件，确认质量管理、验收人员无兼任采购、销售等其他岗位。</w:t>
            </w:r>
          </w:p>
        </w:tc>
      </w:tr>
      <w:tr w14:paraId="20BE3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shd w:val="clear" w:color="auto" w:fill="auto"/>
            <w:vAlign w:val="center"/>
          </w:tcPr>
          <w:p w14:paraId="7569F2C4">
            <w:pPr>
              <w:keepNext w:val="0"/>
              <w:keepLines w:val="0"/>
              <w:pageBreakBefore w:val="0"/>
              <w:kinsoku/>
              <w:wordWrap/>
              <w:overflowPunct/>
              <w:topLinePunct w:val="0"/>
              <w:autoSpaceDE w:val="0"/>
              <w:autoSpaceDN w:val="0"/>
              <w:bidi w:val="0"/>
              <w:adjustRightInd/>
              <w:spacing w:line="320" w:lineRule="exact"/>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48</w:t>
            </w:r>
          </w:p>
        </w:tc>
        <w:tc>
          <w:tcPr>
            <w:tcW w:w="552" w:type="dxa"/>
            <w:vMerge w:val="continue"/>
            <w:vAlign w:val="center"/>
          </w:tcPr>
          <w:p w14:paraId="08B75773">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03825E5B">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02401</w:t>
            </w:r>
          </w:p>
        </w:tc>
        <w:tc>
          <w:tcPr>
            <w:tcW w:w="4918" w:type="dxa"/>
            <w:vAlign w:val="center"/>
          </w:tcPr>
          <w:p w14:paraId="70CA9C25">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从事采购工作的人员应当具有药学或者医学、生物、化学等相关专业中专以上学历。</w:t>
            </w:r>
          </w:p>
        </w:tc>
        <w:tc>
          <w:tcPr>
            <w:tcW w:w="7140" w:type="dxa"/>
            <w:vMerge w:val="restart"/>
            <w:vAlign w:val="center"/>
          </w:tcPr>
          <w:p w14:paraId="3AEF9557">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查阅该岗位人员的学历证书原件，核对其是否符合任职要求。</w:t>
            </w:r>
          </w:p>
        </w:tc>
      </w:tr>
      <w:tr w14:paraId="683D7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shd w:val="clear" w:color="auto" w:fill="auto"/>
            <w:vAlign w:val="center"/>
          </w:tcPr>
          <w:p w14:paraId="07A772B5">
            <w:pPr>
              <w:keepNext w:val="0"/>
              <w:keepLines w:val="0"/>
              <w:pageBreakBefore w:val="0"/>
              <w:kinsoku/>
              <w:wordWrap/>
              <w:overflowPunct/>
              <w:topLinePunct w:val="0"/>
              <w:autoSpaceDE w:val="0"/>
              <w:autoSpaceDN w:val="0"/>
              <w:bidi w:val="0"/>
              <w:adjustRightInd/>
              <w:spacing w:line="320" w:lineRule="exact"/>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49</w:t>
            </w:r>
          </w:p>
        </w:tc>
        <w:tc>
          <w:tcPr>
            <w:tcW w:w="552" w:type="dxa"/>
            <w:vMerge w:val="continue"/>
            <w:vAlign w:val="center"/>
          </w:tcPr>
          <w:p w14:paraId="25CB2476">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692C01EA">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02402</w:t>
            </w:r>
          </w:p>
        </w:tc>
        <w:tc>
          <w:tcPr>
            <w:tcW w:w="4918" w:type="dxa"/>
            <w:vAlign w:val="center"/>
          </w:tcPr>
          <w:p w14:paraId="3074BFEF">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从事销售、储存等工作的人员应当具有高中以上文化程度。</w:t>
            </w:r>
          </w:p>
        </w:tc>
        <w:tc>
          <w:tcPr>
            <w:tcW w:w="7140" w:type="dxa"/>
            <w:vMerge w:val="continue"/>
            <w:vAlign w:val="center"/>
          </w:tcPr>
          <w:p w14:paraId="3DCEFBDE">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p>
        </w:tc>
      </w:tr>
      <w:tr w14:paraId="469FE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619" w:type="dxa"/>
            <w:shd w:val="clear" w:color="auto" w:fill="auto"/>
            <w:vAlign w:val="center"/>
          </w:tcPr>
          <w:p w14:paraId="522529B3">
            <w:pPr>
              <w:keepNext w:val="0"/>
              <w:keepLines w:val="0"/>
              <w:widowControl/>
              <w:suppressLineNumbers w:val="0"/>
              <w:jc w:val="center"/>
              <w:textAlignment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50</w:t>
            </w:r>
          </w:p>
        </w:tc>
        <w:tc>
          <w:tcPr>
            <w:tcW w:w="552" w:type="dxa"/>
            <w:vMerge w:val="continue"/>
            <w:vAlign w:val="center"/>
          </w:tcPr>
          <w:p w14:paraId="53C18140">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3C99CF26">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*02501</w:t>
            </w:r>
          </w:p>
        </w:tc>
        <w:tc>
          <w:tcPr>
            <w:tcW w:w="4918" w:type="dxa"/>
            <w:vAlign w:val="center"/>
          </w:tcPr>
          <w:p w14:paraId="6F46FA50">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企业应当对各岗位人员进行与其职责和工作内容相关的岗前培训和继续培训，以符合《规范》的要求。</w:t>
            </w:r>
          </w:p>
        </w:tc>
        <w:tc>
          <w:tcPr>
            <w:tcW w:w="7140" w:type="dxa"/>
            <w:vAlign w:val="center"/>
          </w:tcPr>
          <w:p w14:paraId="1F872BA7">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1.企业培训应当包括岗前培训和继续培训；</w:t>
            </w:r>
          </w:p>
          <w:p w14:paraId="00AFE392">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2.企业员工上岗前应当接受培训，符合岗位要求后方可上岗履行职责。查询是否有培训记录（包括时间、内容、考核结果），确认所有岗位人员均完成培训并通过考核。</w:t>
            </w:r>
          </w:p>
          <w:p w14:paraId="6D69FD79">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3.</w:t>
            </w:r>
            <w:r>
              <w:rPr>
                <w:rFonts w:hint="eastAsia" w:ascii="宋体" w:hAnsi="宋体" w:eastAsia="宋体" w:cs="宋体"/>
                <w:color w:val="auto"/>
                <w:sz w:val="24"/>
                <w:szCs w:val="24"/>
                <w:highlight w:val="none"/>
              </w:rPr>
              <w:t>随机抽取员工进行现场问答或操作演示，验证培训效果。</w:t>
            </w:r>
          </w:p>
        </w:tc>
      </w:tr>
      <w:tr w14:paraId="03D85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19" w:type="dxa"/>
            <w:shd w:val="clear" w:color="auto" w:fill="auto"/>
            <w:vAlign w:val="center"/>
          </w:tcPr>
          <w:p w14:paraId="129399F5">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51</w:t>
            </w:r>
          </w:p>
        </w:tc>
        <w:tc>
          <w:tcPr>
            <w:tcW w:w="552" w:type="dxa"/>
            <w:vMerge w:val="continue"/>
            <w:vAlign w:val="center"/>
          </w:tcPr>
          <w:p w14:paraId="26AFFB1B">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51EA9DA0">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02601</w:t>
            </w:r>
          </w:p>
        </w:tc>
        <w:tc>
          <w:tcPr>
            <w:tcW w:w="4918" w:type="dxa"/>
            <w:vAlign w:val="center"/>
          </w:tcPr>
          <w:p w14:paraId="5F04EA5C">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培训内容应当包括相关法律法规、药品专业知识及技能、质量管理制度、职责及岗位操作规程等。</w:t>
            </w:r>
          </w:p>
        </w:tc>
        <w:tc>
          <w:tcPr>
            <w:tcW w:w="7140" w:type="dxa"/>
            <w:vAlign w:val="center"/>
          </w:tcPr>
          <w:p w14:paraId="06E66042">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查阅企业培训内容是否根据法律法规、药品专业知识及技能、质量管理制度、职责及岗位操作规程等要求合理制定。</w:t>
            </w:r>
          </w:p>
        </w:tc>
      </w:tr>
      <w:tr w14:paraId="2D4FC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shd w:val="clear" w:color="auto" w:fill="auto"/>
            <w:vAlign w:val="center"/>
          </w:tcPr>
          <w:p w14:paraId="6395DA6B">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52</w:t>
            </w:r>
          </w:p>
        </w:tc>
        <w:tc>
          <w:tcPr>
            <w:tcW w:w="552" w:type="dxa"/>
            <w:vMerge w:val="continue"/>
            <w:vAlign w:val="center"/>
          </w:tcPr>
          <w:p w14:paraId="3335F323">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3B4EC5B9">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*02701</w:t>
            </w:r>
          </w:p>
        </w:tc>
        <w:tc>
          <w:tcPr>
            <w:tcW w:w="4918" w:type="dxa"/>
            <w:vAlign w:val="center"/>
          </w:tcPr>
          <w:p w14:paraId="3864858D">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企业应当按照培训管理制度制定年度培训计划并开展培训和考核，使相关人员能正确理解并履行职责。</w:t>
            </w:r>
          </w:p>
        </w:tc>
        <w:tc>
          <w:tcPr>
            <w:tcW w:w="7140" w:type="dxa"/>
            <w:vAlign w:val="center"/>
          </w:tcPr>
          <w:p w14:paraId="1BD86EF8">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查阅企业是否制定培训制度、培训计划，查相关文件及培训内容、记录</w:t>
            </w:r>
          </w:p>
        </w:tc>
      </w:tr>
      <w:tr w14:paraId="7A6D7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shd w:val="clear" w:color="auto" w:fill="auto"/>
            <w:vAlign w:val="center"/>
          </w:tcPr>
          <w:p w14:paraId="7975337D">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53</w:t>
            </w:r>
          </w:p>
        </w:tc>
        <w:tc>
          <w:tcPr>
            <w:tcW w:w="552" w:type="dxa"/>
            <w:vMerge w:val="continue"/>
            <w:vAlign w:val="center"/>
          </w:tcPr>
          <w:p w14:paraId="7C2DC668">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70AEAA8E">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02702</w:t>
            </w:r>
          </w:p>
        </w:tc>
        <w:tc>
          <w:tcPr>
            <w:tcW w:w="4918" w:type="dxa"/>
            <w:vAlign w:val="center"/>
          </w:tcPr>
          <w:p w14:paraId="162623B7">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培训工作应当做好记录并建立档案。</w:t>
            </w:r>
          </w:p>
        </w:tc>
        <w:tc>
          <w:tcPr>
            <w:tcW w:w="7140" w:type="dxa"/>
            <w:vAlign w:val="center"/>
          </w:tcPr>
          <w:p w14:paraId="1340DA95">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eastAsia="宋体" w:cs="宋体"/>
                <w:color w:val="auto"/>
                <w:sz w:val="24"/>
                <w:szCs w:val="24"/>
                <w:highlight w:val="none"/>
              </w:rPr>
              <w:t>查阅企业是否按照企业管理培训制度、计划、内容开展培训，并进行了培训工作记录。</w:t>
            </w:r>
          </w:p>
          <w:p w14:paraId="095A6A3F">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查阅企业是否按照企业培训管理制度要求建立企业人员培训档案</w:t>
            </w:r>
          </w:p>
        </w:tc>
      </w:tr>
      <w:tr w14:paraId="126CB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19" w:type="dxa"/>
            <w:shd w:val="clear" w:color="auto" w:fill="auto"/>
            <w:vAlign w:val="center"/>
          </w:tcPr>
          <w:p w14:paraId="426A10E5">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54</w:t>
            </w:r>
          </w:p>
        </w:tc>
        <w:tc>
          <w:tcPr>
            <w:tcW w:w="552" w:type="dxa"/>
            <w:vMerge w:val="continue"/>
            <w:vAlign w:val="center"/>
          </w:tcPr>
          <w:p w14:paraId="297B4A23">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545E6257">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02901</w:t>
            </w:r>
          </w:p>
        </w:tc>
        <w:tc>
          <w:tcPr>
            <w:tcW w:w="4918" w:type="dxa"/>
            <w:vAlign w:val="center"/>
          </w:tcPr>
          <w:p w14:paraId="6D215A4E">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企业应当制定员工个人卫生管理制度。</w:t>
            </w:r>
          </w:p>
        </w:tc>
        <w:tc>
          <w:tcPr>
            <w:tcW w:w="7140" w:type="dxa"/>
            <w:vAlign w:val="center"/>
          </w:tcPr>
          <w:p w14:paraId="5C8DF30F">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查阅企业是否制定有关员工个人卫生管理制度</w:t>
            </w:r>
          </w:p>
        </w:tc>
      </w:tr>
      <w:tr w14:paraId="1818A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shd w:val="clear" w:color="auto" w:fill="auto"/>
            <w:vAlign w:val="center"/>
          </w:tcPr>
          <w:p w14:paraId="0BA469C8">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55</w:t>
            </w:r>
          </w:p>
        </w:tc>
        <w:tc>
          <w:tcPr>
            <w:tcW w:w="552" w:type="dxa"/>
            <w:vMerge w:val="continue"/>
            <w:vAlign w:val="center"/>
          </w:tcPr>
          <w:p w14:paraId="22AF9F83">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42BA6EA7">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02902</w:t>
            </w:r>
          </w:p>
        </w:tc>
        <w:tc>
          <w:tcPr>
            <w:tcW w:w="4918" w:type="dxa"/>
            <w:vAlign w:val="center"/>
          </w:tcPr>
          <w:p w14:paraId="5C854B82">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企业储存、运输等岗位人员的着装应当符合劳动保护和产品防护的要求。</w:t>
            </w:r>
          </w:p>
        </w:tc>
        <w:tc>
          <w:tcPr>
            <w:tcW w:w="7140" w:type="dxa"/>
            <w:vAlign w:val="center"/>
          </w:tcPr>
          <w:p w14:paraId="1BA160F1">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查阅特殊工作环境是否对工作人员采取劳动保护措施（如：冷链药品）</w:t>
            </w:r>
          </w:p>
        </w:tc>
      </w:tr>
      <w:tr w14:paraId="5E8E0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tcBorders>
              <w:bottom w:val="single" w:color="auto" w:sz="4" w:space="0"/>
            </w:tcBorders>
            <w:shd w:val="clear" w:color="auto" w:fill="auto"/>
            <w:vAlign w:val="center"/>
          </w:tcPr>
          <w:p w14:paraId="412B774B">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56</w:t>
            </w:r>
          </w:p>
        </w:tc>
        <w:tc>
          <w:tcPr>
            <w:tcW w:w="552" w:type="dxa"/>
            <w:vMerge w:val="continue"/>
            <w:vAlign w:val="center"/>
          </w:tcPr>
          <w:p w14:paraId="3142AAFD">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tcBorders>
              <w:bottom w:val="single" w:color="auto" w:sz="4" w:space="0"/>
            </w:tcBorders>
            <w:vAlign w:val="center"/>
          </w:tcPr>
          <w:p w14:paraId="319C847E">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03001</w:t>
            </w:r>
          </w:p>
        </w:tc>
        <w:tc>
          <w:tcPr>
            <w:tcW w:w="4918" w:type="dxa"/>
            <w:tcBorders>
              <w:bottom w:val="single" w:color="auto" w:sz="4" w:space="0"/>
            </w:tcBorders>
            <w:vAlign w:val="center"/>
          </w:tcPr>
          <w:p w14:paraId="17885B80">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质量管理、验收、养护、储存等直接接触药品岗位的人员应当进行岗前及年度健康检查，并建立健康档案。</w:t>
            </w:r>
          </w:p>
        </w:tc>
        <w:tc>
          <w:tcPr>
            <w:tcW w:w="7140" w:type="dxa"/>
            <w:tcBorders>
              <w:bottom w:val="single" w:color="auto" w:sz="4" w:space="0"/>
            </w:tcBorders>
            <w:vAlign w:val="center"/>
          </w:tcPr>
          <w:p w14:paraId="3952A0F6">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查阅直接接触药品岗位人员的健康档案，核实岗前健康检查报告是否符合要求。</w:t>
            </w:r>
          </w:p>
        </w:tc>
      </w:tr>
      <w:tr w14:paraId="4B75C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tcBorders>
              <w:top w:val="single" w:color="auto" w:sz="4" w:space="0"/>
              <w:left w:val="single" w:color="auto" w:sz="4" w:space="0"/>
              <w:bottom w:val="single" w:color="auto" w:sz="4" w:space="0"/>
              <w:right w:val="single" w:color="auto" w:sz="4" w:space="0"/>
            </w:tcBorders>
            <w:shd w:val="clear" w:color="auto" w:fill="auto"/>
            <w:vAlign w:val="center"/>
          </w:tcPr>
          <w:p w14:paraId="701B4FF5">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57</w:t>
            </w:r>
          </w:p>
        </w:tc>
        <w:tc>
          <w:tcPr>
            <w:tcW w:w="552" w:type="dxa"/>
            <w:vMerge w:val="continue"/>
            <w:vAlign w:val="center"/>
          </w:tcPr>
          <w:p w14:paraId="258F2167">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tcBorders>
              <w:top w:val="single" w:color="auto" w:sz="4" w:space="0"/>
              <w:left w:val="single" w:color="auto" w:sz="4" w:space="0"/>
              <w:bottom w:val="single" w:color="auto" w:sz="4" w:space="0"/>
              <w:right w:val="single" w:color="auto" w:sz="4" w:space="0"/>
            </w:tcBorders>
            <w:vAlign w:val="center"/>
          </w:tcPr>
          <w:p w14:paraId="2A4EC13A">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03002</w:t>
            </w:r>
          </w:p>
        </w:tc>
        <w:tc>
          <w:tcPr>
            <w:tcW w:w="4918" w:type="dxa"/>
            <w:tcBorders>
              <w:top w:val="single" w:color="auto" w:sz="4" w:space="0"/>
              <w:left w:val="single" w:color="auto" w:sz="4" w:space="0"/>
              <w:bottom w:val="single" w:color="auto" w:sz="4" w:space="0"/>
              <w:right w:val="single" w:color="auto" w:sz="4" w:space="0"/>
            </w:tcBorders>
            <w:vAlign w:val="center"/>
          </w:tcPr>
          <w:p w14:paraId="7346ACD8">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患有传染病或者其他可能污染药品的疾病的，不得从事直接接触药品的工作。</w:t>
            </w:r>
          </w:p>
        </w:tc>
        <w:tc>
          <w:tcPr>
            <w:tcW w:w="7140" w:type="dxa"/>
            <w:tcBorders>
              <w:top w:val="single" w:color="auto" w:sz="4" w:space="0"/>
              <w:left w:val="single" w:color="auto" w:sz="4" w:space="0"/>
              <w:bottom w:val="single" w:color="auto" w:sz="4" w:space="0"/>
              <w:right w:val="single" w:color="auto" w:sz="4" w:space="0"/>
            </w:tcBorders>
            <w:vAlign w:val="center"/>
          </w:tcPr>
          <w:p w14:paraId="7157C34E">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患有传染病或其他可能污染药品的疾病的人员不得在直接接触药品的岗位工作。</w:t>
            </w:r>
          </w:p>
        </w:tc>
      </w:tr>
      <w:tr w14:paraId="73280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tcBorders>
              <w:top w:val="single" w:color="auto" w:sz="4" w:space="0"/>
            </w:tcBorders>
            <w:shd w:val="clear" w:color="auto" w:fill="auto"/>
            <w:vAlign w:val="center"/>
          </w:tcPr>
          <w:p w14:paraId="008837D2">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58</w:t>
            </w:r>
          </w:p>
        </w:tc>
        <w:tc>
          <w:tcPr>
            <w:tcW w:w="552" w:type="dxa"/>
            <w:vMerge w:val="continue"/>
            <w:vAlign w:val="center"/>
          </w:tcPr>
          <w:p w14:paraId="0BE4A33B">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tcBorders>
              <w:top w:val="single" w:color="auto" w:sz="4" w:space="0"/>
            </w:tcBorders>
            <w:vAlign w:val="center"/>
          </w:tcPr>
          <w:p w14:paraId="36A8944D">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03003</w:t>
            </w:r>
          </w:p>
        </w:tc>
        <w:tc>
          <w:tcPr>
            <w:tcW w:w="4918" w:type="dxa"/>
            <w:tcBorders>
              <w:top w:val="single" w:color="auto" w:sz="4" w:space="0"/>
            </w:tcBorders>
            <w:vAlign w:val="center"/>
          </w:tcPr>
          <w:p w14:paraId="4E1B7AE8">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身体条件不符合相应岗位特定要求的，不得从事相关工作。</w:t>
            </w:r>
          </w:p>
        </w:tc>
        <w:tc>
          <w:tcPr>
            <w:tcW w:w="7140" w:type="dxa"/>
            <w:tcBorders>
              <w:top w:val="single" w:color="auto" w:sz="4" w:space="0"/>
            </w:tcBorders>
            <w:vAlign w:val="center"/>
          </w:tcPr>
          <w:p w14:paraId="34CCA0E6">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查阅员工健康档案，看直接接触药品岗位人员健康状况是否符合要求</w:t>
            </w:r>
          </w:p>
        </w:tc>
      </w:tr>
      <w:tr w14:paraId="21B5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7" w:hRule="atLeast"/>
          <w:jc w:val="center"/>
        </w:trPr>
        <w:tc>
          <w:tcPr>
            <w:tcW w:w="619" w:type="dxa"/>
            <w:shd w:val="clear" w:color="auto" w:fill="auto"/>
            <w:vAlign w:val="center"/>
          </w:tcPr>
          <w:p w14:paraId="27692C3D">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59</w:t>
            </w:r>
          </w:p>
        </w:tc>
        <w:tc>
          <w:tcPr>
            <w:tcW w:w="552" w:type="dxa"/>
            <w:vMerge w:val="restart"/>
            <w:vAlign w:val="center"/>
          </w:tcPr>
          <w:p w14:paraId="39343429">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w:t>
            </w:r>
          </w:p>
          <w:p w14:paraId="076A1655">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量</w:t>
            </w:r>
          </w:p>
          <w:p w14:paraId="69522ED7">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w:t>
            </w:r>
          </w:p>
          <w:p w14:paraId="55539791">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理</w:t>
            </w:r>
          </w:p>
          <w:p w14:paraId="68C33AC4">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体</w:t>
            </w:r>
          </w:p>
          <w:p w14:paraId="4D7117B8">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p>
          <w:p w14:paraId="288A5986">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w:t>
            </w:r>
          </w:p>
          <w:p w14:paraId="2010294C">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件</w:t>
            </w:r>
          </w:p>
        </w:tc>
        <w:tc>
          <w:tcPr>
            <w:tcW w:w="1127" w:type="dxa"/>
            <w:vAlign w:val="center"/>
          </w:tcPr>
          <w:p w14:paraId="3D2E8FEB">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**03101</w:t>
            </w:r>
          </w:p>
        </w:tc>
        <w:tc>
          <w:tcPr>
            <w:tcW w:w="4918" w:type="dxa"/>
            <w:vAlign w:val="center"/>
          </w:tcPr>
          <w:p w14:paraId="73BF3D1F">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企业制定质量管理体系文件应当完备，并符合企业实际，文件包括质量管理制度、部门及岗位职责、操作规程、档案、报告、记录和凭证等。</w:t>
            </w:r>
          </w:p>
        </w:tc>
        <w:tc>
          <w:tcPr>
            <w:tcW w:w="7140" w:type="dxa"/>
            <w:vAlign w:val="center"/>
          </w:tcPr>
          <w:p w14:paraId="4E932FB4">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eastAsia="宋体" w:cs="宋体"/>
                <w:color w:val="auto"/>
                <w:sz w:val="24"/>
                <w:szCs w:val="24"/>
                <w:highlight w:val="none"/>
              </w:rPr>
              <w:t>查阅企业质量体系文件是否围绕在企业质量方针及目标下建立，层次是否清晰，结构是否符合该企业实际需要。</w:t>
            </w:r>
          </w:p>
          <w:p w14:paraId="423E8108">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查阅企业质量体系文件是否覆盖质量管理的所有要求，是否满足适用的法律法规与其他要求，是否覆盖组织能够控制和施加影响的所有质量过程。</w:t>
            </w:r>
          </w:p>
          <w:p w14:paraId="19FE7E96">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质量体系文件内容是否齐全。</w:t>
            </w:r>
            <w:r>
              <w:rPr>
                <w:rFonts w:hint="eastAsia" w:ascii="宋体" w:hAnsi="宋体" w:cs="宋体"/>
                <w:color w:val="auto"/>
                <w:sz w:val="24"/>
                <w:highlight w:val="none"/>
              </w:rPr>
              <w:t>管理制度、岗位职责、操作规程</w:t>
            </w:r>
            <w:bookmarkStart w:id="2" w:name="_GoBack"/>
            <w:bookmarkEnd w:id="2"/>
            <w:r>
              <w:rPr>
                <w:rFonts w:hint="eastAsia" w:ascii="宋体" w:hAnsi="宋体" w:cs="宋体"/>
                <w:color w:val="auto"/>
                <w:sz w:val="24"/>
                <w:highlight w:val="none"/>
              </w:rPr>
              <w:t>以及相关记录等内容表述及要求是否一致。</w:t>
            </w:r>
          </w:p>
        </w:tc>
      </w:tr>
      <w:tr w14:paraId="1149E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shd w:val="clear" w:color="auto" w:fill="auto"/>
            <w:vAlign w:val="center"/>
          </w:tcPr>
          <w:p w14:paraId="4A9233FA">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60</w:t>
            </w:r>
          </w:p>
        </w:tc>
        <w:tc>
          <w:tcPr>
            <w:tcW w:w="552" w:type="dxa"/>
            <w:vMerge w:val="continue"/>
            <w:vAlign w:val="center"/>
          </w:tcPr>
          <w:p w14:paraId="13FBB729">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147D363D">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*03201</w:t>
            </w:r>
          </w:p>
        </w:tc>
        <w:tc>
          <w:tcPr>
            <w:tcW w:w="4918" w:type="dxa"/>
            <w:vAlign w:val="center"/>
          </w:tcPr>
          <w:p w14:paraId="43F5AE9E">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文件的起草、修订、审核、批准、分发、保管，以及修改、撤销、替换、销毁等应当按照文件管理操作规程进行，并保存相关记录。</w:t>
            </w:r>
          </w:p>
        </w:tc>
        <w:tc>
          <w:tcPr>
            <w:tcW w:w="7140" w:type="dxa"/>
            <w:vAlign w:val="center"/>
          </w:tcPr>
          <w:p w14:paraId="6AAABBD0">
            <w:pPr>
              <w:keepNext w:val="0"/>
              <w:keepLines w:val="0"/>
              <w:pageBreakBefore w:val="0"/>
              <w:numPr>
                <w:ilvl w:val="0"/>
                <w:numId w:val="0"/>
              </w:numPr>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查阅企业是否建立《文件管理操作规程》。</w:t>
            </w:r>
          </w:p>
          <w:p w14:paraId="3CB24E1B">
            <w:pPr>
              <w:keepNext w:val="0"/>
              <w:keepLines w:val="0"/>
              <w:pageBreakBefore w:val="0"/>
              <w:numPr>
                <w:ilvl w:val="0"/>
                <w:numId w:val="0"/>
              </w:numPr>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随机抽查至少3个质量管理文件，查阅从起草、修订、审核、批准到发布全过程是否符合规定。</w:t>
            </w:r>
          </w:p>
        </w:tc>
      </w:tr>
      <w:tr w14:paraId="06277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619" w:type="dxa"/>
            <w:shd w:val="clear" w:color="auto" w:fill="auto"/>
            <w:vAlign w:val="center"/>
          </w:tcPr>
          <w:p w14:paraId="573FEDD9">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61</w:t>
            </w:r>
          </w:p>
        </w:tc>
        <w:tc>
          <w:tcPr>
            <w:tcW w:w="552" w:type="dxa"/>
            <w:vMerge w:val="continue"/>
            <w:vAlign w:val="center"/>
          </w:tcPr>
          <w:p w14:paraId="4CEF2E00">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6B4E7F40">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03301</w:t>
            </w:r>
          </w:p>
        </w:tc>
        <w:tc>
          <w:tcPr>
            <w:tcW w:w="4918" w:type="dxa"/>
            <w:vAlign w:val="center"/>
          </w:tcPr>
          <w:p w14:paraId="212D5018">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文件应当标明题目、种类、目的以及文件编号和版本号。</w:t>
            </w:r>
          </w:p>
        </w:tc>
        <w:tc>
          <w:tcPr>
            <w:tcW w:w="7140" w:type="dxa"/>
            <w:vAlign w:val="center"/>
          </w:tcPr>
          <w:p w14:paraId="2E890B27">
            <w:pPr>
              <w:keepNext w:val="0"/>
              <w:keepLines w:val="0"/>
              <w:pageBreakBefore w:val="0"/>
              <w:numPr>
                <w:ilvl w:val="0"/>
                <w:numId w:val="0"/>
              </w:numPr>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rPr>
              <w:t>查阅文件管理制度中是否明确了相关规定。</w:t>
            </w:r>
          </w:p>
          <w:p w14:paraId="3A2910F5">
            <w:pPr>
              <w:keepNext w:val="0"/>
              <w:keepLines w:val="0"/>
              <w:pageBreakBefore w:val="0"/>
              <w:numPr>
                <w:ilvl w:val="0"/>
                <w:numId w:val="0"/>
              </w:numPr>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rPr>
              <w:t>随机抽查至少3个质量管理文件，核实是否标明题目、种类、目的以及文件编号和版本号</w:t>
            </w:r>
            <w:r>
              <w:rPr>
                <w:rFonts w:hint="eastAsia" w:ascii="宋体" w:hAnsi="宋体" w:eastAsia="宋体" w:cs="宋体"/>
                <w:color w:val="auto"/>
                <w:sz w:val="24"/>
                <w:szCs w:val="24"/>
                <w:highlight w:val="none"/>
                <w:lang w:eastAsia="zh-CN"/>
              </w:rPr>
              <w:t>。</w:t>
            </w:r>
          </w:p>
        </w:tc>
      </w:tr>
      <w:tr w14:paraId="34760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19" w:type="dxa"/>
            <w:shd w:val="clear" w:color="auto" w:fill="auto"/>
            <w:vAlign w:val="center"/>
          </w:tcPr>
          <w:p w14:paraId="714809A2">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62</w:t>
            </w:r>
          </w:p>
        </w:tc>
        <w:tc>
          <w:tcPr>
            <w:tcW w:w="552" w:type="dxa"/>
            <w:vMerge w:val="continue"/>
            <w:vAlign w:val="center"/>
          </w:tcPr>
          <w:p w14:paraId="718C83D0">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75CA8A16">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03302</w:t>
            </w:r>
          </w:p>
        </w:tc>
        <w:tc>
          <w:tcPr>
            <w:tcW w:w="4918" w:type="dxa"/>
            <w:vAlign w:val="center"/>
          </w:tcPr>
          <w:p w14:paraId="25309461">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文件文字应当准确、清晰、易懂。</w:t>
            </w:r>
          </w:p>
        </w:tc>
        <w:tc>
          <w:tcPr>
            <w:tcW w:w="7140" w:type="dxa"/>
            <w:vAlign w:val="center"/>
          </w:tcPr>
          <w:p w14:paraId="78500702">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随机抽查至少3个质量管理文件，核实是否出现模棱两可、含糊不清的词语，内容是否有前后矛盾的情况。</w:t>
            </w:r>
          </w:p>
        </w:tc>
      </w:tr>
      <w:tr w14:paraId="14D70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shd w:val="clear" w:color="auto" w:fill="auto"/>
            <w:vAlign w:val="center"/>
          </w:tcPr>
          <w:p w14:paraId="65B45895">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63</w:t>
            </w:r>
          </w:p>
        </w:tc>
        <w:tc>
          <w:tcPr>
            <w:tcW w:w="552" w:type="dxa"/>
            <w:vMerge w:val="continue"/>
            <w:vAlign w:val="center"/>
          </w:tcPr>
          <w:p w14:paraId="075489BD">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6935479E">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03303</w:t>
            </w:r>
          </w:p>
        </w:tc>
        <w:tc>
          <w:tcPr>
            <w:tcW w:w="4918" w:type="dxa"/>
            <w:vAlign w:val="center"/>
          </w:tcPr>
          <w:p w14:paraId="1ECEB99A">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文件应当分类存放，便于查阅。</w:t>
            </w:r>
          </w:p>
        </w:tc>
        <w:tc>
          <w:tcPr>
            <w:tcW w:w="7140" w:type="dxa"/>
            <w:vAlign w:val="center"/>
          </w:tcPr>
          <w:p w14:paraId="065EA203">
            <w:pPr>
              <w:keepNext w:val="0"/>
              <w:keepLines w:val="0"/>
              <w:pageBreakBefore w:val="0"/>
              <w:numPr>
                <w:ilvl w:val="0"/>
                <w:numId w:val="0"/>
              </w:numPr>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企业质量管理体系文件的分类存放是否有明确规定。</w:t>
            </w:r>
          </w:p>
          <w:p w14:paraId="1928C546">
            <w:pPr>
              <w:keepNext w:val="0"/>
              <w:keepLines w:val="0"/>
              <w:pageBreakBefore w:val="0"/>
              <w:numPr>
                <w:ilvl w:val="0"/>
                <w:numId w:val="0"/>
              </w:numPr>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文件编号是否按企业规定编写。文件是否按要求进行分类存放。</w:t>
            </w:r>
          </w:p>
        </w:tc>
      </w:tr>
      <w:tr w14:paraId="4B078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shd w:val="clear" w:color="auto" w:fill="auto"/>
            <w:vAlign w:val="center"/>
          </w:tcPr>
          <w:p w14:paraId="3E28C7C8">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64</w:t>
            </w:r>
          </w:p>
        </w:tc>
        <w:tc>
          <w:tcPr>
            <w:tcW w:w="552" w:type="dxa"/>
            <w:vMerge w:val="continue"/>
            <w:vAlign w:val="center"/>
          </w:tcPr>
          <w:p w14:paraId="4EF67E72">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12E9F3A8">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03401</w:t>
            </w:r>
          </w:p>
        </w:tc>
        <w:tc>
          <w:tcPr>
            <w:tcW w:w="4918" w:type="dxa"/>
            <w:vAlign w:val="center"/>
          </w:tcPr>
          <w:p w14:paraId="58EDD396">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企业应当定期审核、修订文件。</w:t>
            </w:r>
          </w:p>
        </w:tc>
        <w:tc>
          <w:tcPr>
            <w:tcW w:w="7140" w:type="dxa"/>
            <w:vAlign w:val="center"/>
          </w:tcPr>
          <w:p w14:paraId="672D3465">
            <w:pPr>
              <w:keepNext w:val="0"/>
              <w:keepLines w:val="0"/>
              <w:pageBreakBefore w:val="0"/>
              <w:numPr>
                <w:ilvl w:val="0"/>
                <w:numId w:val="0"/>
              </w:numPr>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查阅企业是否有定期审核、修订文件的明确规定。</w:t>
            </w:r>
          </w:p>
          <w:p w14:paraId="3BAF058E">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查阅企业发生内部或外部环境、条件变更时，是否及时进行文件修订。</w:t>
            </w:r>
          </w:p>
        </w:tc>
      </w:tr>
      <w:tr w14:paraId="4824C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619" w:type="dxa"/>
            <w:shd w:val="clear" w:color="auto" w:fill="auto"/>
            <w:vAlign w:val="center"/>
          </w:tcPr>
          <w:p w14:paraId="2569FB57">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65</w:t>
            </w:r>
          </w:p>
        </w:tc>
        <w:tc>
          <w:tcPr>
            <w:tcW w:w="552" w:type="dxa"/>
            <w:vMerge w:val="continue"/>
            <w:vAlign w:val="center"/>
          </w:tcPr>
          <w:p w14:paraId="7EF02A5F">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7624CF48">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03402</w:t>
            </w:r>
          </w:p>
        </w:tc>
        <w:tc>
          <w:tcPr>
            <w:tcW w:w="4918" w:type="dxa"/>
            <w:vAlign w:val="center"/>
          </w:tcPr>
          <w:p w14:paraId="1D7447F9">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企业使用的文件应当为现行有效的文本，已废止或者失效的文件除留档备查外，不得在工作现场出现。</w:t>
            </w:r>
          </w:p>
        </w:tc>
        <w:tc>
          <w:tcPr>
            <w:tcW w:w="7140" w:type="dxa"/>
            <w:vAlign w:val="center"/>
          </w:tcPr>
          <w:p w14:paraId="44CDE07C">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检查企业员工使用的是否为现行有效版本。</w:t>
            </w:r>
          </w:p>
        </w:tc>
      </w:tr>
      <w:tr w14:paraId="40DCB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619" w:type="dxa"/>
            <w:shd w:val="clear" w:color="auto" w:fill="auto"/>
            <w:vAlign w:val="center"/>
          </w:tcPr>
          <w:p w14:paraId="37C5FD5D">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66</w:t>
            </w:r>
          </w:p>
        </w:tc>
        <w:tc>
          <w:tcPr>
            <w:tcW w:w="552" w:type="dxa"/>
            <w:vMerge w:val="continue"/>
            <w:vAlign w:val="center"/>
          </w:tcPr>
          <w:p w14:paraId="0E8AD3E8">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168F4E43">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03501</w:t>
            </w:r>
          </w:p>
        </w:tc>
        <w:tc>
          <w:tcPr>
            <w:tcW w:w="4918" w:type="dxa"/>
            <w:vAlign w:val="center"/>
          </w:tcPr>
          <w:p w14:paraId="1A86943C">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企业应当保证各岗位获得与其工作内容相对应的必要文件，并严格按照规定开展工作。</w:t>
            </w:r>
          </w:p>
        </w:tc>
        <w:tc>
          <w:tcPr>
            <w:tcW w:w="7140" w:type="dxa"/>
            <w:vAlign w:val="center"/>
          </w:tcPr>
          <w:p w14:paraId="0CBA92B0">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查阅各部门或岗位在工作现场是否有相应的现行文件。</w:t>
            </w:r>
          </w:p>
        </w:tc>
      </w:tr>
      <w:tr w14:paraId="6412A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619" w:type="dxa"/>
            <w:shd w:val="clear" w:color="auto" w:fill="auto"/>
            <w:vAlign w:val="center"/>
          </w:tcPr>
          <w:p w14:paraId="0E526F73">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67</w:t>
            </w:r>
          </w:p>
        </w:tc>
        <w:tc>
          <w:tcPr>
            <w:tcW w:w="552" w:type="dxa"/>
            <w:vMerge w:val="continue"/>
            <w:vAlign w:val="center"/>
          </w:tcPr>
          <w:p w14:paraId="6A1AD49F">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21AA5606">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*03601</w:t>
            </w:r>
          </w:p>
        </w:tc>
        <w:tc>
          <w:tcPr>
            <w:tcW w:w="4918" w:type="dxa"/>
            <w:vAlign w:val="center"/>
          </w:tcPr>
          <w:p w14:paraId="1972C6DF">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质量管理制度应当包括以下内容：</w:t>
            </w:r>
          </w:p>
          <w:p w14:paraId="20F25A44">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质量管理体系内审的规定；（二）质量否决权的规定；（三）质量管理文件的管理；（四）质量信息的管理；（五）供货单位、购货单位、供货单位销售人员及购货单位采购人员等资格审核的规定；（六）药品采购、收货、验收、储存、养护、销售、出库、运输的管理；（七）特殊管理的药品的规定；（八）药品有效期的管理；（九）不合格药品、药品销毁的管理；（十）药品退货的管理；（十一）药品召回的管理；（十二）质量查询的管理；（十三）质量事故、质量投诉的管理；（十四）药品不良反应报告的规定；（十五）环境卫生、人员健康的规定；（十六）质量方面的教育、培训及考核的规定；（十七）设施设备保管和维护的管理；（十八）设施设备验证和校准的管理；（十九）记录和凭证的管理；（二十）计算机系统的管理；（二十一）药品追溯的规定；（二十二）其他应当规定的内容。</w:t>
            </w:r>
          </w:p>
        </w:tc>
        <w:tc>
          <w:tcPr>
            <w:tcW w:w="7140" w:type="dxa"/>
            <w:vAlign w:val="center"/>
          </w:tcPr>
          <w:p w14:paraId="5778BA0B">
            <w:pPr>
              <w:keepNext w:val="0"/>
              <w:keepLines w:val="0"/>
              <w:pageBreakBefore w:val="0"/>
              <w:numPr>
                <w:ilvl w:val="255"/>
                <w:numId w:val="0"/>
              </w:numPr>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eastAsia="宋体" w:cs="宋体"/>
                <w:color w:val="auto"/>
                <w:sz w:val="24"/>
                <w:szCs w:val="24"/>
                <w:highlight w:val="none"/>
              </w:rPr>
              <w:t>查阅企业制度，是否至少包括该内容。</w:t>
            </w:r>
          </w:p>
          <w:p w14:paraId="3AA54EA3">
            <w:pPr>
              <w:keepNext w:val="0"/>
              <w:keepLines w:val="0"/>
              <w:pageBreakBefore w:val="0"/>
              <w:numPr>
                <w:ilvl w:val="255"/>
                <w:numId w:val="0"/>
              </w:numPr>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抽查制度内容，检查是否符合相关法规和企业实际。</w:t>
            </w:r>
          </w:p>
          <w:p w14:paraId="7F7A2DE0">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3.</w:t>
            </w:r>
            <w:r>
              <w:rPr>
                <w:rFonts w:hint="eastAsia" w:ascii="宋体" w:hAnsi="宋体" w:eastAsia="宋体" w:cs="宋体"/>
                <w:color w:val="auto"/>
                <w:sz w:val="24"/>
                <w:szCs w:val="24"/>
                <w:highlight w:val="none"/>
              </w:rPr>
              <w:t>其他应当规定的内容，</w:t>
            </w:r>
          </w:p>
          <w:p w14:paraId="4882FC9C">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（1）质量管理体系及质量审核、质量风险、自查和质量改进、向药品监管机构报告等管理规程；</w:t>
            </w:r>
          </w:p>
          <w:p w14:paraId="1B3B7A31">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（2）偏差和超标（OOS）、纠正和预防措施（CAPA）、变更控制、验证确认和校验、定期进行温度监控分析评估等管理规程；</w:t>
            </w:r>
          </w:p>
          <w:p w14:paraId="110210B2">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药品召回、质量缺陷、投诉处理、不合格药品处理和质量否决、应急管理等管理规程；其中应急管理应当制定紧急情况处理方案及记录，包括但不仅限于自然灾害、大面积停电、设备及不间断电源（UPS）故障、运输过程中交通工具故障等情况</w:t>
            </w:r>
            <w:r>
              <w:rPr>
                <w:rFonts w:hint="eastAsia" w:ascii="宋体" w:hAnsi="宋体" w:cs="宋体"/>
                <w:color w:val="auto"/>
                <w:sz w:val="24"/>
                <w:szCs w:val="24"/>
                <w:highlight w:val="none"/>
                <w:lang w:eastAsia="zh-CN"/>
              </w:rPr>
              <w:t>；</w:t>
            </w:r>
          </w:p>
          <w:p w14:paraId="1E2EA523">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投诉管理操作规程，内容包括投诉渠道及方式、档案记录、调查与评估、处理措施、反馈和事后跟踪等</w:t>
            </w:r>
            <w:r>
              <w:rPr>
                <w:rFonts w:hint="eastAsia" w:ascii="宋体" w:hAnsi="宋体" w:cs="宋体"/>
                <w:color w:val="auto"/>
                <w:sz w:val="24"/>
                <w:szCs w:val="24"/>
                <w:highlight w:val="none"/>
                <w:lang w:eastAsia="zh-CN"/>
              </w:rPr>
              <w:t>；</w:t>
            </w:r>
          </w:p>
          <w:p w14:paraId="4006B790">
            <w:pPr>
              <w:pStyle w:val="2"/>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（5）对门店进行巡查的制度、门店药品调拨的管理规定。</w:t>
            </w:r>
          </w:p>
          <w:p w14:paraId="59D645B6">
            <w:pPr>
              <w:pStyle w:val="2"/>
              <w:rPr>
                <w:rFonts w:hint="eastAsia"/>
                <w:color w:val="auto"/>
                <w:sz w:val="24"/>
                <w:szCs w:val="24"/>
                <w:highlight w:val="none"/>
              </w:rPr>
            </w:pPr>
          </w:p>
        </w:tc>
      </w:tr>
      <w:tr w14:paraId="7C2F8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6" w:hRule="atLeast"/>
          <w:jc w:val="center"/>
        </w:trPr>
        <w:tc>
          <w:tcPr>
            <w:tcW w:w="619" w:type="dxa"/>
            <w:shd w:val="clear" w:color="auto" w:fill="auto"/>
            <w:vAlign w:val="center"/>
          </w:tcPr>
          <w:p w14:paraId="6C3A1820">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68</w:t>
            </w:r>
          </w:p>
        </w:tc>
        <w:tc>
          <w:tcPr>
            <w:tcW w:w="552" w:type="dxa"/>
            <w:vMerge w:val="continue"/>
            <w:vAlign w:val="center"/>
          </w:tcPr>
          <w:p w14:paraId="267E065D">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30D76FC1">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*03701</w:t>
            </w:r>
          </w:p>
        </w:tc>
        <w:tc>
          <w:tcPr>
            <w:tcW w:w="4918" w:type="dxa"/>
            <w:vAlign w:val="center"/>
          </w:tcPr>
          <w:p w14:paraId="10FEF280">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部门及岗位职责应当包括：</w:t>
            </w:r>
          </w:p>
          <w:p w14:paraId="7284DF9F">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（一）质量管理、采购、储存、销售、运输、财务和信息管理等部门职责；（二）</w:t>
            </w:r>
            <w:r>
              <w:rPr>
                <w:rFonts w:hint="eastAsia" w:ascii="宋体" w:hAnsi="宋体" w:cs="宋体"/>
                <w:color w:val="auto"/>
                <w:sz w:val="24"/>
                <w:szCs w:val="24"/>
                <w:highlight w:val="none"/>
                <w:lang w:eastAsia="zh-CN"/>
              </w:rPr>
              <w:t>主要负责人</w:t>
            </w:r>
            <w:r>
              <w:rPr>
                <w:rFonts w:hint="eastAsia" w:ascii="宋体" w:hAnsi="宋体" w:eastAsia="宋体" w:cs="宋体"/>
                <w:color w:val="auto"/>
                <w:sz w:val="24"/>
                <w:szCs w:val="24"/>
                <w:highlight w:val="none"/>
              </w:rPr>
              <w:t>、质量负责人及质量管理、采购、储存、销售、运输、财务和信息管理等部门负责人的岗位职责；（三）质量管理、采购、收货、验收、储存、养护、销售、出库复核、运输、财务、信息管理等岗位职责；（四）与药品经营相关的其他岗位职责。</w:t>
            </w:r>
          </w:p>
        </w:tc>
        <w:tc>
          <w:tcPr>
            <w:tcW w:w="7140" w:type="dxa"/>
            <w:vAlign w:val="center"/>
          </w:tcPr>
          <w:p w14:paraId="04AE45B4">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查阅企业部门及岗位职责文件，看是否齐全，并与部门、部门负责人及岗位权责一致，符合企业工作实际和岗位要求。</w:t>
            </w:r>
          </w:p>
        </w:tc>
      </w:tr>
      <w:tr w14:paraId="5CE75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shd w:val="clear" w:color="auto" w:fill="auto"/>
            <w:vAlign w:val="center"/>
          </w:tcPr>
          <w:p w14:paraId="38476CE0">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69</w:t>
            </w:r>
          </w:p>
        </w:tc>
        <w:tc>
          <w:tcPr>
            <w:tcW w:w="552" w:type="dxa"/>
            <w:vMerge w:val="continue"/>
            <w:vAlign w:val="center"/>
          </w:tcPr>
          <w:p w14:paraId="611EBBAB">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60DC64C5">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*03801</w:t>
            </w:r>
          </w:p>
        </w:tc>
        <w:tc>
          <w:tcPr>
            <w:tcW w:w="4918" w:type="dxa"/>
            <w:vAlign w:val="center"/>
          </w:tcPr>
          <w:p w14:paraId="776C1EF5">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企业应当制定药品采购、收货、验收、储存、养护、销售、出库复核、运输等环节及计算机系统的操作规程。</w:t>
            </w:r>
          </w:p>
        </w:tc>
        <w:tc>
          <w:tcPr>
            <w:tcW w:w="7140" w:type="dxa"/>
            <w:vAlign w:val="center"/>
          </w:tcPr>
          <w:p w14:paraId="6F9547E6">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1.查阅操作规程是否涵盖采购、收货、验收、储存、养护、销售、出库复核、运输及计算机系统管理等全部环节，内容是否简明、可操作，并与质量管理制度保持一致。至少包括以下方面内容：</w:t>
            </w:r>
          </w:p>
          <w:p w14:paraId="566DE488">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）计算机管理系统及其质量信息交换、设施设备预防性维护等管理规程，包括质量协议相关方权限审核管理、操作单元管理、质量信息可交互和操作指令控制等；</w:t>
            </w:r>
          </w:p>
          <w:p w14:paraId="2D7E702A">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根据计算机管理系统，制定适当的药品收货、验收、入库、储存养护、出库拣选、发货、复核、送货、运输、退货等物流活动管理规程，包括收货指令、发货指令、退货指令变更控制程序；清洁和害虫控制、堆垛整理、上货补货、订单交付、发运包装、运输及中转流通管理、温控交通工具操作等标准操作规程；</w:t>
            </w:r>
          </w:p>
          <w:p w14:paraId="46D8746B">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查阅计算机系统操作权限是否与岗位职责匹配，关键操作是否留存不可篡改的电子日志。</w:t>
            </w:r>
          </w:p>
        </w:tc>
      </w:tr>
      <w:tr w14:paraId="1BC09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shd w:val="clear" w:color="auto" w:fill="auto"/>
            <w:vAlign w:val="center"/>
          </w:tcPr>
          <w:p w14:paraId="7F649609">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70</w:t>
            </w:r>
          </w:p>
        </w:tc>
        <w:tc>
          <w:tcPr>
            <w:tcW w:w="552" w:type="dxa"/>
            <w:vMerge w:val="continue"/>
            <w:vAlign w:val="center"/>
          </w:tcPr>
          <w:p w14:paraId="6736DEA2">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5D72BC11">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*03901</w:t>
            </w:r>
          </w:p>
        </w:tc>
        <w:tc>
          <w:tcPr>
            <w:tcW w:w="4918" w:type="dxa"/>
            <w:vAlign w:val="center"/>
          </w:tcPr>
          <w:p w14:paraId="1498A3C8">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企业应当建立药品采购、验收、养护、销售、出库复核、销后退回和购进退出、运输、储运温湿度监测、不合格药品处理等相关记录。</w:t>
            </w:r>
          </w:p>
        </w:tc>
        <w:tc>
          <w:tcPr>
            <w:tcW w:w="7140" w:type="dxa"/>
            <w:vAlign w:val="center"/>
          </w:tcPr>
          <w:p w14:paraId="05CC36FB">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查阅记录表单是否覆盖采购、验收、养护、销售、出库复核、退货、运输、温湿度监测及不合格药品处理等所有环节，且内容完整（如药品名称、批号、数量、处理结论）。</w:t>
            </w:r>
          </w:p>
        </w:tc>
      </w:tr>
      <w:tr w14:paraId="4B9F4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shd w:val="clear" w:color="auto" w:fill="auto"/>
            <w:vAlign w:val="center"/>
          </w:tcPr>
          <w:p w14:paraId="5438DFE6">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71</w:t>
            </w:r>
          </w:p>
        </w:tc>
        <w:tc>
          <w:tcPr>
            <w:tcW w:w="552" w:type="dxa"/>
            <w:vMerge w:val="continue"/>
            <w:vAlign w:val="center"/>
          </w:tcPr>
          <w:p w14:paraId="78EB415A">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26E90CCC">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*03902</w:t>
            </w:r>
          </w:p>
        </w:tc>
        <w:tc>
          <w:tcPr>
            <w:tcW w:w="4918" w:type="dxa"/>
            <w:vAlign w:val="center"/>
          </w:tcPr>
          <w:p w14:paraId="583A1948">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记录应当真实、完整、准确、有效和可追溯。</w:t>
            </w:r>
          </w:p>
        </w:tc>
        <w:tc>
          <w:tcPr>
            <w:tcW w:w="7140" w:type="dxa"/>
            <w:vAlign w:val="center"/>
          </w:tcPr>
          <w:p w14:paraId="1C65B129">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检查ERP是否设置权限管理及审计追踪功能，修改记录是否经质量部门审批并留存修改日志。</w:t>
            </w:r>
          </w:p>
        </w:tc>
      </w:tr>
      <w:tr w14:paraId="6D769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shd w:val="clear" w:color="auto" w:fill="auto"/>
            <w:vAlign w:val="center"/>
          </w:tcPr>
          <w:p w14:paraId="621FBDE5">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72</w:t>
            </w:r>
          </w:p>
        </w:tc>
        <w:tc>
          <w:tcPr>
            <w:tcW w:w="552" w:type="dxa"/>
            <w:vMerge w:val="continue"/>
            <w:vAlign w:val="center"/>
          </w:tcPr>
          <w:p w14:paraId="2D0ABE1A">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4A3B6D08">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04001</w:t>
            </w:r>
          </w:p>
        </w:tc>
        <w:tc>
          <w:tcPr>
            <w:tcW w:w="4918" w:type="dxa"/>
            <w:vAlign w:val="center"/>
          </w:tcPr>
          <w:p w14:paraId="1A340FCE">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通过计算机系统记录数据时，有关人员应当按照操作规程，通过授权及密码登录后方可进行数据的录入或者复核。</w:t>
            </w:r>
          </w:p>
        </w:tc>
        <w:tc>
          <w:tcPr>
            <w:tcW w:w="7140" w:type="dxa"/>
            <w:vAlign w:val="center"/>
          </w:tcPr>
          <w:p w14:paraId="04158D2B">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检查登录账号是否存在共用账号或默认密码现象。</w:t>
            </w:r>
          </w:p>
        </w:tc>
      </w:tr>
      <w:tr w14:paraId="4A9FA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619" w:type="dxa"/>
            <w:shd w:val="clear" w:color="auto" w:fill="auto"/>
            <w:vAlign w:val="center"/>
          </w:tcPr>
          <w:p w14:paraId="6991B27E">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73</w:t>
            </w:r>
          </w:p>
        </w:tc>
        <w:tc>
          <w:tcPr>
            <w:tcW w:w="552" w:type="dxa"/>
            <w:vMerge w:val="continue"/>
            <w:vAlign w:val="center"/>
          </w:tcPr>
          <w:p w14:paraId="681FD0B4">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1AFAD330">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04002</w:t>
            </w:r>
          </w:p>
        </w:tc>
        <w:tc>
          <w:tcPr>
            <w:tcW w:w="4918" w:type="dxa"/>
            <w:vAlign w:val="center"/>
          </w:tcPr>
          <w:p w14:paraId="00E48011">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数据的更改应当经质量管理部门审核并在其监督下进行。</w:t>
            </w:r>
          </w:p>
        </w:tc>
        <w:tc>
          <w:tcPr>
            <w:tcW w:w="7140" w:type="dxa"/>
            <w:vAlign w:val="center"/>
          </w:tcPr>
          <w:p w14:paraId="41BC0C7E">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查阅质量管理文件中对该内容是否有规定。</w:t>
            </w:r>
          </w:p>
        </w:tc>
      </w:tr>
      <w:tr w14:paraId="0812B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19" w:type="dxa"/>
            <w:shd w:val="clear" w:color="auto" w:fill="auto"/>
            <w:vAlign w:val="center"/>
          </w:tcPr>
          <w:p w14:paraId="0EBC7006">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74</w:t>
            </w:r>
          </w:p>
        </w:tc>
        <w:tc>
          <w:tcPr>
            <w:tcW w:w="552" w:type="dxa"/>
            <w:vMerge w:val="continue"/>
            <w:vAlign w:val="center"/>
          </w:tcPr>
          <w:p w14:paraId="0B582532">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178AEF0B">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04003</w:t>
            </w:r>
          </w:p>
        </w:tc>
        <w:tc>
          <w:tcPr>
            <w:tcW w:w="4918" w:type="dxa"/>
            <w:vAlign w:val="center"/>
          </w:tcPr>
          <w:p w14:paraId="68212FFF">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数据的更改过程应当留有记录。</w:t>
            </w:r>
          </w:p>
        </w:tc>
        <w:tc>
          <w:tcPr>
            <w:tcW w:w="7140" w:type="dxa"/>
            <w:vAlign w:val="center"/>
          </w:tcPr>
          <w:p w14:paraId="68C6C5B0">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eastAsia="宋体" w:cs="宋体"/>
                <w:color w:val="auto"/>
                <w:sz w:val="24"/>
                <w:szCs w:val="24"/>
                <w:highlight w:val="none"/>
              </w:rPr>
              <w:t>查阅质量管理文件中对该内容是否有规定。</w:t>
            </w:r>
          </w:p>
          <w:p w14:paraId="317B16C6">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电子系统是否自动生成修改日志，并与纸质审批记录（如有）一一对应。</w:t>
            </w:r>
          </w:p>
        </w:tc>
      </w:tr>
      <w:tr w14:paraId="7AFC7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shd w:val="clear" w:color="auto" w:fill="auto"/>
            <w:vAlign w:val="center"/>
          </w:tcPr>
          <w:p w14:paraId="20E19917">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75</w:t>
            </w:r>
          </w:p>
        </w:tc>
        <w:tc>
          <w:tcPr>
            <w:tcW w:w="552" w:type="dxa"/>
            <w:vMerge w:val="continue"/>
            <w:vAlign w:val="center"/>
          </w:tcPr>
          <w:p w14:paraId="5E983F77">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34AFFCEA">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*04101</w:t>
            </w:r>
          </w:p>
        </w:tc>
        <w:tc>
          <w:tcPr>
            <w:tcW w:w="4918" w:type="dxa"/>
            <w:vAlign w:val="center"/>
          </w:tcPr>
          <w:p w14:paraId="6F8CA26F">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书面记录及凭证应当及时填写，并做到字迹清晰，不得随意涂改，不得撕毁。</w:t>
            </w:r>
          </w:p>
        </w:tc>
        <w:tc>
          <w:tcPr>
            <w:tcW w:w="7140" w:type="dxa"/>
            <w:vMerge w:val="restart"/>
            <w:vAlign w:val="center"/>
          </w:tcPr>
          <w:p w14:paraId="4FDAA1EF">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查阅质量管理文件中</w:t>
            </w:r>
            <w:r>
              <w:rPr>
                <w:rFonts w:hint="eastAsia" w:ascii="宋体" w:hAnsi="宋体" w:eastAsia="宋体" w:cs="宋体"/>
                <w:color w:val="auto"/>
                <w:sz w:val="24"/>
                <w:szCs w:val="24"/>
                <w:highlight w:val="none"/>
                <w:lang w:val="en-US" w:eastAsia="zh-CN"/>
              </w:rPr>
              <w:t>对该内容</w:t>
            </w:r>
            <w:r>
              <w:rPr>
                <w:rFonts w:hint="eastAsia" w:ascii="宋体" w:hAnsi="宋体" w:eastAsia="宋体" w:cs="宋体"/>
                <w:color w:val="auto"/>
                <w:sz w:val="24"/>
                <w:szCs w:val="24"/>
                <w:highlight w:val="none"/>
              </w:rPr>
              <w:t>是否有规定。</w:t>
            </w:r>
          </w:p>
        </w:tc>
      </w:tr>
      <w:tr w14:paraId="3D5C6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shd w:val="clear" w:color="auto" w:fill="auto"/>
            <w:vAlign w:val="center"/>
          </w:tcPr>
          <w:p w14:paraId="6BC39038">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76</w:t>
            </w:r>
          </w:p>
        </w:tc>
        <w:tc>
          <w:tcPr>
            <w:tcW w:w="552" w:type="dxa"/>
            <w:vMerge w:val="continue"/>
            <w:vAlign w:val="center"/>
          </w:tcPr>
          <w:p w14:paraId="3B45924B">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2F61CD7B">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04102</w:t>
            </w:r>
          </w:p>
        </w:tc>
        <w:tc>
          <w:tcPr>
            <w:tcW w:w="4918" w:type="dxa"/>
            <w:vAlign w:val="center"/>
          </w:tcPr>
          <w:p w14:paraId="791BBCA9">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更改记录的，应当注明理由、日期并签名，保持原有信息清晰可辨。</w:t>
            </w:r>
          </w:p>
        </w:tc>
        <w:tc>
          <w:tcPr>
            <w:tcW w:w="7140" w:type="dxa"/>
            <w:vMerge w:val="continue"/>
            <w:vAlign w:val="center"/>
          </w:tcPr>
          <w:p w14:paraId="223A3050">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p>
        </w:tc>
      </w:tr>
      <w:tr w14:paraId="12F90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619" w:type="dxa"/>
            <w:shd w:val="clear" w:color="auto" w:fill="auto"/>
            <w:vAlign w:val="center"/>
          </w:tcPr>
          <w:p w14:paraId="21B1EB7F">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77</w:t>
            </w:r>
          </w:p>
        </w:tc>
        <w:tc>
          <w:tcPr>
            <w:tcW w:w="552" w:type="dxa"/>
            <w:vMerge w:val="continue"/>
            <w:vAlign w:val="center"/>
          </w:tcPr>
          <w:p w14:paraId="519A1F68">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36C2A1FF">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04201</w:t>
            </w:r>
          </w:p>
        </w:tc>
        <w:tc>
          <w:tcPr>
            <w:tcW w:w="4918" w:type="dxa"/>
            <w:vAlign w:val="center"/>
          </w:tcPr>
          <w:p w14:paraId="2B91C979">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记录及凭证应当至少保存5年。</w:t>
            </w:r>
          </w:p>
        </w:tc>
        <w:tc>
          <w:tcPr>
            <w:tcW w:w="7140" w:type="dxa"/>
            <w:vMerge w:val="continue"/>
            <w:vAlign w:val="center"/>
          </w:tcPr>
          <w:p w14:paraId="7D4BA40C">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p>
        </w:tc>
      </w:tr>
      <w:tr w14:paraId="1A72D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19" w:type="dxa"/>
            <w:shd w:val="clear" w:color="auto" w:fill="auto"/>
            <w:vAlign w:val="center"/>
          </w:tcPr>
          <w:p w14:paraId="611F613B">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78</w:t>
            </w:r>
          </w:p>
        </w:tc>
        <w:tc>
          <w:tcPr>
            <w:tcW w:w="552" w:type="dxa"/>
            <w:vMerge w:val="continue"/>
            <w:vAlign w:val="center"/>
          </w:tcPr>
          <w:p w14:paraId="32DE22D8">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417B8877">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04203</w:t>
            </w:r>
          </w:p>
        </w:tc>
        <w:tc>
          <w:tcPr>
            <w:tcW w:w="4918" w:type="dxa"/>
            <w:vAlign w:val="center"/>
          </w:tcPr>
          <w:p w14:paraId="59B5BE8D">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特殊管理的药品的记录及凭证按相关规定保存。</w:t>
            </w:r>
          </w:p>
        </w:tc>
        <w:tc>
          <w:tcPr>
            <w:tcW w:w="7140" w:type="dxa"/>
            <w:vMerge w:val="continue"/>
            <w:vAlign w:val="center"/>
          </w:tcPr>
          <w:p w14:paraId="76132D0E">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p>
        </w:tc>
      </w:tr>
      <w:tr w14:paraId="4D3F4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619" w:type="dxa"/>
            <w:shd w:val="clear" w:color="auto" w:fill="auto"/>
            <w:vAlign w:val="center"/>
          </w:tcPr>
          <w:p w14:paraId="6B9F8029">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79</w:t>
            </w:r>
          </w:p>
        </w:tc>
        <w:tc>
          <w:tcPr>
            <w:tcW w:w="552" w:type="dxa"/>
            <w:vMerge w:val="restart"/>
            <w:vAlign w:val="center"/>
          </w:tcPr>
          <w:p w14:paraId="173603F4">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w:t>
            </w:r>
          </w:p>
          <w:p w14:paraId="4A656B60">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w:t>
            </w:r>
          </w:p>
          <w:p w14:paraId="05354A72">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w:t>
            </w:r>
          </w:p>
          <w:p w14:paraId="1CEB4490">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w:t>
            </w:r>
          </w:p>
          <w:p w14:paraId="223275C3">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w:t>
            </w:r>
          </w:p>
        </w:tc>
        <w:tc>
          <w:tcPr>
            <w:tcW w:w="1127" w:type="dxa"/>
            <w:vAlign w:val="center"/>
          </w:tcPr>
          <w:p w14:paraId="74614687">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*04301</w:t>
            </w:r>
          </w:p>
        </w:tc>
        <w:tc>
          <w:tcPr>
            <w:tcW w:w="4918" w:type="dxa"/>
            <w:vAlign w:val="center"/>
          </w:tcPr>
          <w:p w14:paraId="7676C9D3">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企业应当具有与其药品经营范围、经营规模相适应的经营场所和库房。</w:t>
            </w:r>
          </w:p>
        </w:tc>
        <w:tc>
          <w:tcPr>
            <w:tcW w:w="7140" w:type="dxa"/>
            <w:vAlign w:val="center"/>
          </w:tcPr>
          <w:p w14:paraId="73F7B7A0">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eastAsia="宋体" w:cs="宋体"/>
                <w:color w:val="auto"/>
                <w:sz w:val="24"/>
                <w:szCs w:val="24"/>
                <w:highlight w:val="none"/>
              </w:rPr>
              <w:t>检查经营场所产权证书或租赁协议，建筑面积不少于200平方米。</w:t>
            </w:r>
          </w:p>
          <w:p w14:paraId="7B418DFC">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检查仓库产权证书或租赁协议，是否为自营仓库。</w:t>
            </w:r>
          </w:p>
          <w:p w14:paraId="1222E7DA">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3.</w:t>
            </w:r>
            <w:r>
              <w:rPr>
                <w:rFonts w:hint="eastAsia" w:ascii="宋体" w:hAnsi="宋体" w:eastAsia="宋体" w:cs="宋体"/>
                <w:color w:val="auto"/>
                <w:sz w:val="24"/>
                <w:szCs w:val="24"/>
                <w:highlight w:val="none"/>
              </w:rPr>
              <w:t>检查仓库布局是否合理，与经营范围和经营规模是否适应:</w:t>
            </w:r>
          </w:p>
          <w:p w14:paraId="5D219BCD">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（1）仓库总</w:t>
            </w:r>
            <w:r>
              <w:rPr>
                <w:rFonts w:hint="eastAsia" w:ascii="宋体" w:hAnsi="宋体" w:cs="宋体"/>
                <w:color w:val="auto"/>
                <w:sz w:val="24"/>
                <w:szCs w:val="24"/>
                <w:highlight w:val="none"/>
                <w:lang w:eastAsia="zh-CN"/>
              </w:rPr>
              <w:t>建筑</w:t>
            </w:r>
            <w:r>
              <w:rPr>
                <w:rFonts w:hint="eastAsia" w:ascii="宋体" w:hAnsi="宋体" w:eastAsia="宋体" w:cs="宋体"/>
                <w:color w:val="auto"/>
                <w:sz w:val="24"/>
                <w:szCs w:val="24"/>
                <w:highlight w:val="none"/>
              </w:rPr>
              <w:t>面积不少于</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00平方米。</w:t>
            </w:r>
          </w:p>
          <w:p w14:paraId="31629AC3">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（2）有符合药品储存要求的常温库、阴凉库，常温和阴凉药品混库储存的，温度控制应当设置为10至20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4ACB9D85">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strike/>
                <w:color w:val="auto"/>
                <w:sz w:val="24"/>
                <w:szCs w:val="24"/>
                <w:highlight w:val="none"/>
                <w:lang w:eastAsia="zh-CN"/>
              </w:rPr>
              <w:t>3</w:t>
            </w:r>
            <w:r>
              <w:rPr>
                <w:rFonts w:hint="eastAsia" w:ascii="宋体" w:hAnsi="宋体" w:eastAsia="宋体" w:cs="宋体"/>
                <w:color w:val="auto"/>
                <w:sz w:val="24"/>
                <w:szCs w:val="24"/>
                <w:highlight w:val="none"/>
              </w:rPr>
              <w:t>）托盘、货架标识条形码实行货位管理，一位一码。</w:t>
            </w:r>
          </w:p>
        </w:tc>
      </w:tr>
      <w:tr w14:paraId="40158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shd w:val="clear" w:color="auto" w:fill="auto"/>
            <w:vAlign w:val="center"/>
          </w:tcPr>
          <w:p w14:paraId="66254640">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80</w:t>
            </w:r>
          </w:p>
        </w:tc>
        <w:tc>
          <w:tcPr>
            <w:tcW w:w="552" w:type="dxa"/>
            <w:vMerge w:val="continue"/>
            <w:vAlign w:val="center"/>
          </w:tcPr>
          <w:p w14:paraId="734E2527">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4567B6D8">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04401</w:t>
            </w:r>
          </w:p>
        </w:tc>
        <w:tc>
          <w:tcPr>
            <w:tcW w:w="4918" w:type="dxa"/>
            <w:vAlign w:val="center"/>
          </w:tcPr>
          <w:p w14:paraId="3D05DB97">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库房的选址、设计、布局、建造、改造和维护应当符合药品储存的要求，防止药品的污染、交叉污染、混淆和差错。</w:t>
            </w:r>
          </w:p>
        </w:tc>
        <w:tc>
          <w:tcPr>
            <w:tcW w:w="7140" w:type="dxa"/>
            <w:vMerge w:val="restart"/>
            <w:vAlign w:val="center"/>
          </w:tcPr>
          <w:p w14:paraId="445788E3">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1.检查库房是否相对独立，且为符合国家相关标准的要求的合法建筑；</w:t>
            </w:r>
          </w:p>
          <w:p w14:paraId="6A11379E">
            <w:pPr>
              <w:pStyle w:val="2"/>
              <w:keepNext w:val="0"/>
              <w:keepLines w:val="0"/>
              <w:pageBreakBefore w:val="0"/>
              <w:tabs>
                <w:tab w:val="left" w:pos="251"/>
              </w:tabs>
              <w:kinsoku/>
              <w:wordWrap/>
              <w:overflowPunct/>
              <w:topLinePunct w:val="0"/>
              <w:bidi w:val="0"/>
              <w:adjustRightInd/>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2.检查仓库内外环境整洁，无污染源，与周边其他企业、生活区域或建筑设施保持相对独立，仓库建筑内应无有害气体、粉尘、污水等影响药品质量安全的因素；</w:t>
            </w:r>
          </w:p>
        </w:tc>
      </w:tr>
      <w:tr w14:paraId="2EABE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shd w:val="clear" w:color="auto" w:fill="auto"/>
            <w:vAlign w:val="center"/>
          </w:tcPr>
          <w:p w14:paraId="56814F01">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81</w:t>
            </w:r>
          </w:p>
        </w:tc>
        <w:tc>
          <w:tcPr>
            <w:tcW w:w="552" w:type="dxa"/>
            <w:vMerge w:val="continue"/>
            <w:vAlign w:val="center"/>
          </w:tcPr>
          <w:p w14:paraId="70F208F8">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75A8C4C0">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04501</w:t>
            </w:r>
          </w:p>
        </w:tc>
        <w:tc>
          <w:tcPr>
            <w:tcW w:w="4918" w:type="dxa"/>
            <w:vAlign w:val="center"/>
          </w:tcPr>
          <w:p w14:paraId="3477596D">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药品储存作业区、辅助作业区应当与办公区和生活区分开一定距离或者有隔离措施。</w:t>
            </w:r>
          </w:p>
        </w:tc>
        <w:tc>
          <w:tcPr>
            <w:tcW w:w="7140" w:type="dxa"/>
            <w:vMerge w:val="continue"/>
            <w:vAlign w:val="center"/>
          </w:tcPr>
          <w:p w14:paraId="54789523">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p>
        </w:tc>
      </w:tr>
      <w:tr w14:paraId="5E519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shd w:val="clear" w:color="auto" w:fill="auto"/>
            <w:vAlign w:val="center"/>
          </w:tcPr>
          <w:p w14:paraId="3E184F6A">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82</w:t>
            </w:r>
          </w:p>
        </w:tc>
        <w:tc>
          <w:tcPr>
            <w:tcW w:w="552" w:type="dxa"/>
            <w:vMerge w:val="continue"/>
            <w:vAlign w:val="center"/>
          </w:tcPr>
          <w:p w14:paraId="6E57A161">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4192ED6C">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*04601</w:t>
            </w:r>
          </w:p>
        </w:tc>
        <w:tc>
          <w:tcPr>
            <w:tcW w:w="4918" w:type="dxa"/>
            <w:vAlign w:val="center"/>
          </w:tcPr>
          <w:p w14:paraId="587426BF">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库房的规模及条件应当满足药品的合理、安全储存，便于开展储存作业。</w:t>
            </w:r>
          </w:p>
        </w:tc>
        <w:tc>
          <w:tcPr>
            <w:tcW w:w="7140" w:type="dxa"/>
            <w:vMerge w:val="continue"/>
            <w:vAlign w:val="center"/>
          </w:tcPr>
          <w:p w14:paraId="034D2FCC">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p>
        </w:tc>
      </w:tr>
      <w:tr w14:paraId="77718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shd w:val="clear" w:color="auto" w:fill="auto"/>
            <w:vAlign w:val="center"/>
          </w:tcPr>
          <w:p w14:paraId="5E0947CA">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83</w:t>
            </w:r>
          </w:p>
        </w:tc>
        <w:tc>
          <w:tcPr>
            <w:tcW w:w="552" w:type="dxa"/>
            <w:vMerge w:val="continue"/>
            <w:vAlign w:val="center"/>
          </w:tcPr>
          <w:p w14:paraId="06B3CACB">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77208844">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04602</w:t>
            </w:r>
          </w:p>
        </w:tc>
        <w:tc>
          <w:tcPr>
            <w:tcW w:w="4918" w:type="dxa"/>
            <w:vAlign w:val="center"/>
          </w:tcPr>
          <w:p w14:paraId="2FD27661">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库房内外环境整洁，无污染源，库区地面硬化或者绿化。</w:t>
            </w:r>
          </w:p>
        </w:tc>
        <w:tc>
          <w:tcPr>
            <w:tcW w:w="7140" w:type="dxa"/>
            <w:vMerge w:val="restart"/>
            <w:vAlign w:val="center"/>
          </w:tcPr>
          <w:p w14:paraId="52B6D438">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1.检查库区地面是否硬化或者绿化，无积水、杂草；</w:t>
            </w:r>
          </w:p>
          <w:p w14:paraId="0BE95823">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2.检查库房内部地面是否平整、干净，易于清洁，房顶、墙面无漏雨或渗水迹象；墙壁光滑洁净，具备隔热保温功能，能够防火抗风。门窗严密，不得有蚊、虫、鼠、鸟等生物可进入的缝隙。</w:t>
            </w:r>
          </w:p>
        </w:tc>
      </w:tr>
      <w:tr w14:paraId="5FA37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shd w:val="clear" w:color="auto" w:fill="auto"/>
            <w:vAlign w:val="center"/>
          </w:tcPr>
          <w:p w14:paraId="49381BD1">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84</w:t>
            </w:r>
          </w:p>
        </w:tc>
        <w:tc>
          <w:tcPr>
            <w:tcW w:w="552" w:type="dxa"/>
            <w:vMerge w:val="continue"/>
            <w:vAlign w:val="center"/>
          </w:tcPr>
          <w:p w14:paraId="3124B15A">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081FBBFF">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04603</w:t>
            </w:r>
          </w:p>
        </w:tc>
        <w:tc>
          <w:tcPr>
            <w:tcW w:w="4918" w:type="dxa"/>
            <w:vAlign w:val="center"/>
          </w:tcPr>
          <w:p w14:paraId="596128DF">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库房内墙、顶光洁，地面平整，门窗结构严密。</w:t>
            </w:r>
          </w:p>
        </w:tc>
        <w:tc>
          <w:tcPr>
            <w:tcW w:w="7140" w:type="dxa"/>
            <w:vMerge w:val="continue"/>
            <w:vAlign w:val="center"/>
          </w:tcPr>
          <w:p w14:paraId="22E074BD">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p>
        </w:tc>
      </w:tr>
      <w:tr w14:paraId="7F365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shd w:val="clear" w:color="auto" w:fill="auto"/>
            <w:vAlign w:val="center"/>
          </w:tcPr>
          <w:p w14:paraId="6B52DC39">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85</w:t>
            </w:r>
          </w:p>
        </w:tc>
        <w:tc>
          <w:tcPr>
            <w:tcW w:w="552" w:type="dxa"/>
            <w:vMerge w:val="continue"/>
            <w:vAlign w:val="center"/>
          </w:tcPr>
          <w:p w14:paraId="42B7E417">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107FD46F">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04604</w:t>
            </w:r>
          </w:p>
        </w:tc>
        <w:tc>
          <w:tcPr>
            <w:tcW w:w="4918" w:type="dxa"/>
            <w:vAlign w:val="center"/>
          </w:tcPr>
          <w:p w14:paraId="51B718E2">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pacing w:val="-12"/>
                <w:sz w:val="24"/>
                <w:szCs w:val="24"/>
                <w:highlight w:val="none"/>
              </w:rPr>
            </w:pPr>
            <w:r>
              <w:rPr>
                <w:rFonts w:hint="eastAsia" w:ascii="宋体" w:hAnsi="宋体" w:eastAsia="宋体" w:cs="宋体"/>
                <w:color w:val="auto"/>
                <w:spacing w:val="-12"/>
                <w:sz w:val="24"/>
                <w:szCs w:val="24"/>
                <w:highlight w:val="none"/>
              </w:rPr>
              <w:t>库房有可靠的安全防护措施，能够对无关人员进入实行可控管理，防止药品被盗、替换或者混入假药。</w:t>
            </w:r>
          </w:p>
        </w:tc>
        <w:tc>
          <w:tcPr>
            <w:tcW w:w="7140" w:type="dxa"/>
            <w:vAlign w:val="center"/>
          </w:tcPr>
          <w:p w14:paraId="3344D2D6">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1.检查仓库是否安装防盗门窗和设施等安全防护措施；</w:t>
            </w:r>
          </w:p>
          <w:p w14:paraId="495641EC">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2.检查能否对库房进出人员实行登记管理。</w:t>
            </w:r>
          </w:p>
        </w:tc>
      </w:tr>
      <w:tr w14:paraId="1830F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shd w:val="clear" w:color="auto" w:fill="auto"/>
            <w:vAlign w:val="center"/>
          </w:tcPr>
          <w:p w14:paraId="5C8BB670">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86</w:t>
            </w:r>
          </w:p>
        </w:tc>
        <w:tc>
          <w:tcPr>
            <w:tcW w:w="552" w:type="dxa"/>
            <w:vMerge w:val="continue"/>
            <w:vAlign w:val="center"/>
          </w:tcPr>
          <w:p w14:paraId="1FE2B573">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50744AEA">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04605</w:t>
            </w:r>
          </w:p>
        </w:tc>
        <w:tc>
          <w:tcPr>
            <w:tcW w:w="4918" w:type="dxa"/>
            <w:vAlign w:val="center"/>
          </w:tcPr>
          <w:p w14:paraId="2B668D63">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库房有防止室外装卸、搬运、接收、发运等作业受异常天气影响的措施。</w:t>
            </w:r>
          </w:p>
        </w:tc>
        <w:tc>
          <w:tcPr>
            <w:tcW w:w="7140" w:type="dxa"/>
            <w:vAlign w:val="center"/>
          </w:tcPr>
          <w:p w14:paraId="7CAD0F3A">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1.检查室外装卸、搬运、接收、发运等作业场所是否通过设置顶棚、</w:t>
            </w:r>
            <w:r>
              <w:rPr>
                <w:rFonts w:hint="eastAsia" w:ascii="宋体" w:hAnsi="宋体" w:eastAsia="宋体" w:cs="宋体"/>
                <w:color w:val="auto"/>
                <w:sz w:val="24"/>
                <w:szCs w:val="24"/>
                <w:highlight w:val="none"/>
                <w:lang w:eastAsia="zh-CN"/>
              </w:rPr>
              <w:t>雨棚</w:t>
            </w:r>
            <w:r>
              <w:rPr>
                <w:rFonts w:hint="eastAsia" w:ascii="宋体" w:hAnsi="宋体" w:eastAsia="宋体" w:cs="宋体"/>
                <w:color w:val="auto"/>
                <w:sz w:val="24"/>
                <w:szCs w:val="24"/>
                <w:highlight w:val="none"/>
              </w:rPr>
              <w:t>等坚固的防护措施，防止药品被雨雪等污染。</w:t>
            </w:r>
          </w:p>
        </w:tc>
      </w:tr>
      <w:tr w14:paraId="459B0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shd w:val="clear" w:color="auto" w:fill="auto"/>
            <w:vAlign w:val="center"/>
          </w:tcPr>
          <w:p w14:paraId="7E1F82C4">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87</w:t>
            </w:r>
          </w:p>
        </w:tc>
        <w:tc>
          <w:tcPr>
            <w:tcW w:w="552" w:type="dxa"/>
            <w:vMerge w:val="continue"/>
            <w:vAlign w:val="center"/>
          </w:tcPr>
          <w:p w14:paraId="7635FA22">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3FCFAB5D">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04701</w:t>
            </w:r>
          </w:p>
        </w:tc>
        <w:tc>
          <w:tcPr>
            <w:tcW w:w="4918" w:type="dxa"/>
            <w:vAlign w:val="center"/>
          </w:tcPr>
          <w:p w14:paraId="600B4B2D">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库房应当配备药品与地面之间有效隔离的设备。</w:t>
            </w:r>
          </w:p>
        </w:tc>
        <w:tc>
          <w:tcPr>
            <w:tcW w:w="7140" w:type="dxa"/>
            <w:vAlign w:val="center"/>
          </w:tcPr>
          <w:p w14:paraId="0CD3FAB4">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eastAsia="宋体" w:cs="宋体"/>
                <w:color w:val="auto"/>
                <w:sz w:val="24"/>
                <w:szCs w:val="24"/>
                <w:highlight w:val="none"/>
              </w:rPr>
              <w:t>仓库是否配备与经营范围、经营面积相适应的标准托盘、隔板货架、流利货架、自动化立体货架、高位货架等，货位之间、药品与地面、墙壁之间应有效隔离；</w:t>
            </w:r>
          </w:p>
          <w:p w14:paraId="14BD9541">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零货区是否配备隔板货架或流利式货架，高架仓库应当配备重型组合式货架。</w:t>
            </w:r>
          </w:p>
        </w:tc>
      </w:tr>
      <w:tr w14:paraId="0D495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shd w:val="clear" w:color="auto" w:fill="auto"/>
            <w:vAlign w:val="center"/>
          </w:tcPr>
          <w:p w14:paraId="0038EA4C">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88</w:t>
            </w:r>
          </w:p>
        </w:tc>
        <w:tc>
          <w:tcPr>
            <w:tcW w:w="552" w:type="dxa"/>
            <w:vMerge w:val="continue"/>
            <w:vAlign w:val="center"/>
          </w:tcPr>
          <w:p w14:paraId="4E4BC5F2">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51800003">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04702</w:t>
            </w:r>
          </w:p>
        </w:tc>
        <w:tc>
          <w:tcPr>
            <w:tcW w:w="4918" w:type="dxa"/>
            <w:vAlign w:val="center"/>
          </w:tcPr>
          <w:p w14:paraId="354CE4E8">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库房应当配备避光、通风、防潮、防虫、防鼠等设备。</w:t>
            </w:r>
          </w:p>
        </w:tc>
        <w:tc>
          <w:tcPr>
            <w:tcW w:w="7140" w:type="dxa"/>
            <w:vAlign w:val="center"/>
          </w:tcPr>
          <w:p w14:paraId="488A7FB7">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检查是否配备避免阳光直射的避光设备，应有完好、有效的通风的设施设备，有风帘、挡鼠板、灭蝇灯、粘鼠胶等防虫、防鼠设备。</w:t>
            </w:r>
          </w:p>
        </w:tc>
      </w:tr>
      <w:tr w14:paraId="71013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shd w:val="clear" w:color="auto" w:fill="auto"/>
            <w:vAlign w:val="center"/>
          </w:tcPr>
          <w:p w14:paraId="647AD411">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89</w:t>
            </w:r>
          </w:p>
        </w:tc>
        <w:tc>
          <w:tcPr>
            <w:tcW w:w="552" w:type="dxa"/>
            <w:vMerge w:val="continue"/>
            <w:vAlign w:val="center"/>
          </w:tcPr>
          <w:p w14:paraId="1E8D5CF1">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7F367C6C">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*04703</w:t>
            </w:r>
          </w:p>
        </w:tc>
        <w:tc>
          <w:tcPr>
            <w:tcW w:w="4918" w:type="dxa"/>
            <w:vAlign w:val="center"/>
          </w:tcPr>
          <w:p w14:paraId="54B052D3">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库房应当配备有效调控温湿度及室内外空气交换的设备。</w:t>
            </w:r>
          </w:p>
        </w:tc>
        <w:tc>
          <w:tcPr>
            <w:tcW w:w="7140" w:type="dxa"/>
            <w:vAlign w:val="center"/>
          </w:tcPr>
          <w:p w14:paraId="02DFA631">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检查库房是否配置有效的调节温、湿度的设施设备，如空调系统、除湿机、加湿器等</w:t>
            </w:r>
          </w:p>
        </w:tc>
      </w:tr>
      <w:tr w14:paraId="1BF1A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jc w:val="center"/>
        </w:trPr>
        <w:tc>
          <w:tcPr>
            <w:tcW w:w="619" w:type="dxa"/>
            <w:shd w:val="clear" w:color="auto" w:fill="auto"/>
            <w:vAlign w:val="center"/>
          </w:tcPr>
          <w:p w14:paraId="311B953E">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90</w:t>
            </w:r>
          </w:p>
        </w:tc>
        <w:tc>
          <w:tcPr>
            <w:tcW w:w="552" w:type="dxa"/>
            <w:vMerge w:val="continue"/>
            <w:vAlign w:val="center"/>
          </w:tcPr>
          <w:p w14:paraId="678417B9">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6DA36523">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*04704</w:t>
            </w:r>
          </w:p>
        </w:tc>
        <w:tc>
          <w:tcPr>
            <w:tcW w:w="4918" w:type="dxa"/>
            <w:vAlign w:val="center"/>
          </w:tcPr>
          <w:p w14:paraId="6ABC1003">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库房应当配备自动监测、记录库房温湿度的设备。</w:t>
            </w:r>
          </w:p>
        </w:tc>
        <w:tc>
          <w:tcPr>
            <w:tcW w:w="7140" w:type="dxa"/>
            <w:vAlign w:val="center"/>
          </w:tcPr>
          <w:p w14:paraId="383E341C">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药品库房或仓间安装的测点终端数量及位置是否符合以下要求:每一独立的药品库房或仓间至少安装2个测点终端，并均匀分布。平面仓库面积在300平方米以下的，至少安装2个测点终端。300平方米以上的，每增加300平方米至少增加1个测点终端，不足300平方米的按300平方米计算。平面仓库测点终端安装的位置，不得低于药品货架或药品堆码垛高度的2/3位置。高架仓库或全自动立体仓库（AS/RS）的货架层高在4.5米至8米之间的，每300平方米面积至少安装4个测点终端，每增加300平方米至少增加2个测点终端，并均匀分布在货架上、下位置。货架层高在8米以上的，每300平方米面积至少安装6个测点终端，每增加300平方米至少增加3个测点终端，并均匀分布在货架的上、中、下位置。不足300平方米的按300平方米计算。高架仓库或全自动立体仓库上层测点终端安装的位置，不得低于最上层货架存放药品的最高位置。</w:t>
            </w:r>
          </w:p>
        </w:tc>
      </w:tr>
      <w:tr w14:paraId="3FFC9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619" w:type="dxa"/>
            <w:shd w:val="clear" w:color="auto" w:fill="auto"/>
            <w:vAlign w:val="center"/>
          </w:tcPr>
          <w:p w14:paraId="58A89268">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91</w:t>
            </w:r>
          </w:p>
        </w:tc>
        <w:tc>
          <w:tcPr>
            <w:tcW w:w="552" w:type="dxa"/>
            <w:vMerge w:val="continue"/>
            <w:vAlign w:val="center"/>
          </w:tcPr>
          <w:p w14:paraId="0F78B552">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145C5E50">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04705</w:t>
            </w:r>
          </w:p>
        </w:tc>
        <w:tc>
          <w:tcPr>
            <w:tcW w:w="4918" w:type="dxa"/>
            <w:vAlign w:val="center"/>
          </w:tcPr>
          <w:p w14:paraId="0BB1A7DA">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库房应当配备符合储存作业要求的照明设备。</w:t>
            </w:r>
          </w:p>
        </w:tc>
        <w:tc>
          <w:tcPr>
            <w:tcW w:w="7140" w:type="dxa"/>
            <w:vAlign w:val="center"/>
          </w:tcPr>
          <w:p w14:paraId="3B388F3A">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检查企业是否依据库房高度、面积选用合适、安全的照明设备，照明度应能满足储存、维护作业要求。</w:t>
            </w:r>
          </w:p>
        </w:tc>
      </w:tr>
      <w:tr w14:paraId="59150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shd w:val="clear" w:color="auto" w:fill="auto"/>
            <w:vAlign w:val="center"/>
          </w:tcPr>
          <w:p w14:paraId="353B9949">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92</w:t>
            </w:r>
          </w:p>
        </w:tc>
        <w:tc>
          <w:tcPr>
            <w:tcW w:w="552" w:type="dxa"/>
            <w:vMerge w:val="continue"/>
            <w:vAlign w:val="center"/>
          </w:tcPr>
          <w:p w14:paraId="7E6DEF2E">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03AB3C2E">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04706</w:t>
            </w:r>
          </w:p>
        </w:tc>
        <w:tc>
          <w:tcPr>
            <w:tcW w:w="4918" w:type="dxa"/>
            <w:vAlign w:val="center"/>
          </w:tcPr>
          <w:p w14:paraId="42EC6B2E">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库房应当有用于零货拣选、拼箱发货操作及复核的作业区域和设备。</w:t>
            </w:r>
          </w:p>
        </w:tc>
        <w:tc>
          <w:tcPr>
            <w:tcW w:w="7140" w:type="dxa"/>
            <w:vAlign w:val="center"/>
          </w:tcPr>
          <w:p w14:paraId="58500620">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eastAsia="宋体" w:cs="宋体"/>
                <w:color w:val="auto"/>
                <w:sz w:val="24"/>
                <w:szCs w:val="24"/>
                <w:highlight w:val="none"/>
              </w:rPr>
              <w:t>检查库房内是否划分有专用的零货储存区，是否有专用于零货自动拣选的设备，如自动拣选机</w:t>
            </w:r>
            <w:r>
              <w:rPr>
                <w:rFonts w:hint="eastAsia" w:ascii="宋体" w:hAnsi="宋体" w:cs="宋体"/>
                <w:color w:val="auto"/>
                <w:sz w:val="24"/>
                <w:szCs w:val="24"/>
                <w:highlight w:val="none"/>
                <w:lang w:eastAsia="zh-CN"/>
              </w:rPr>
              <w:t>传送</w:t>
            </w:r>
            <w:r>
              <w:rPr>
                <w:rFonts w:hint="eastAsia" w:ascii="宋体" w:hAnsi="宋体" w:eastAsia="宋体" w:cs="宋体"/>
                <w:color w:val="auto"/>
                <w:sz w:val="24"/>
                <w:szCs w:val="24"/>
                <w:highlight w:val="none"/>
              </w:rPr>
              <w:t>器人、自动拣选传送带等。</w:t>
            </w: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检查库房内是否划分有专用的拼箱发货操作及复核的作业区域，是否有专用于拼箱发货操作及复核的设备，如自动扫描、传送带等。</w:t>
            </w:r>
          </w:p>
        </w:tc>
      </w:tr>
      <w:tr w14:paraId="5466F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shd w:val="clear" w:color="auto" w:fill="auto"/>
            <w:vAlign w:val="center"/>
          </w:tcPr>
          <w:p w14:paraId="56116DA0">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93</w:t>
            </w:r>
          </w:p>
        </w:tc>
        <w:tc>
          <w:tcPr>
            <w:tcW w:w="552" w:type="dxa"/>
            <w:vMerge w:val="continue"/>
            <w:vAlign w:val="center"/>
          </w:tcPr>
          <w:p w14:paraId="04C74147">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230D7DAF">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04707</w:t>
            </w:r>
          </w:p>
        </w:tc>
        <w:tc>
          <w:tcPr>
            <w:tcW w:w="4918" w:type="dxa"/>
            <w:vAlign w:val="center"/>
          </w:tcPr>
          <w:p w14:paraId="68808ABA">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库房应当有包装物料的存放场所。</w:t>
            </w:r>
          </w:p>
        </w:tc>
        <w:tc>
          <w:tcPr>
            <w:tcW w:w="7140" w:type="dxa"/>
            <w:vAlign w:val="center"/>
          </w:tcPr>
          <w:p w14:paraId="26A96442">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检查库房内是否有包装物料的专用库房或专用区域，包装物料的摆放是否分类、整齐。</w:t>
            </w:r>
          </w:p>
        </w:tc>
      </w:tr>
      <w:tr w14:paraId="6DD02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shd w:val="clear" w:color="auto" w:fill="auto"/>
            <w:vAlign w:val="center"/>
          </w:tcPr>
          <w:p w14:paraId="7CFFAEB6">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94</w:t>
            </w:r>
          </w:p>
        </w:tc>
        <w:tc>
          <w:tcPr>
            <w:tcW w:w="552" w:type="dxa"/>
            <w:vMerge w:val="continue"/>
            <w:vAlign w:val="center"/>
          </w:tcPr>
          <w:p w14:paraId="5265AD3A">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2A12C992">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04708</w:t>
            </w:r>
          </w:p>
        </w:tc>
        <w:tc>
          <w:tcPr>
            <w:tcW w:w="4918" w:type="dxa"/>
            <w:vAlign w:val="center"/>
          </w:tcPr>
          <w:p w14:paraId="4ECCABD2">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库房应当有验收、发货、退货的专用场所。</w:t>
            </w:r>
          </w:p>
        </w:tc>
        <w:tc>
          <w:tcPr>
            <w:tcW w:w="7140" w:type="dxa"/>
            <w:vAlign w:val="center"/>
          </w:tcPr>
          <w:p w14:paraId="6D917BCA">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检查库房内是否有验收、发货、退货的专用场所，是否设置相应明显的标识，温度控制、面积是否满足作业要求。</w:t>
            </w:r>
          </w:p>
        </w:tc>
      </w:tr>
      <w:tr w14:paraId="2A08F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shd w:val="clear" w:color="auto" w:fill="auto"/>
            <w:vAlign w:val="center"/>
          </w:tcPr>
          <w:p w14:paraId="189197B3">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95</w:t>
            </w:r>
          </w:p>
        </w:tc>
        <w:tc>
          <w:tcPr>
            <w:tcW w:w="552" w:type="dxa"/>
            <w:vMerge w:val="continue"/>
            <w:vAlign w:val="center"/>
          </w:tcPr>
          <w:p w14:paraId="1434593E">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1F694417">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*04709</w:t>
            </w:r>
          </w:p>
        </w:tc>
        <w:tc>
          <w:tcPr>
            <w:tcW w:w="4918" w:type="dxa"/>
            <w:vAlign w:val="center"/>
          </w:tcPr>
          <w:p w14:paraId="780FFEB3">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库房应当有不合格药品专用存放场所。</w:t>
            </w:r>
          </w:p>
        </w:tc>
        <w:tc>
          <w:tcPr>
            <w:tcW w:w="7140" w:type="dxa"/>
            <w:vAlign w:val="center"/>
          </w:tcPr>
          <w:p w14:paraId="1734718E">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检查是否设置有不合格药品专用的隔离存放场所。</w:t>
            </w:r>
          </w:p>
        </w:tc>
      </w:tr>
      <w:tr w14:paraId="25308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shd w:val="clear" w:color="auto" w:fill="auto"/>
            <w:vAlign w:val="center"/>
          </w:tcPr>
          <w:p w14:paraId="050B7019">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96</w:t>
            </w:r>
          </w:p>
        </w:tc>
        <w:tc>
          <w:tcPr>
            <w:tcW w:w="552" w:type="dxa"/>
            <w:vMerge w:val="continue"/>
            <w:vAlign w:val="center"/>
          </w:tcPr>
          <w:p w14:paraId="229BCD87">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00B64A8E">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*04710</w:t>
            </w:r>
          </w:p>
        </w:tc>
        <w:tc>
          <w:tcPr>
            <w:tcW w:w="4918" w:type="dxa"/>
            <w:vAlign w:val="center"/>
          </w:tcPr>
          <w:p w14:paraId="5E17E8C3">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经营特殊管理的药品有符合国家规定的储存设施。</w:t>
            </w:r>
          </w:p>
        </w:tc>
        <w:tc>
          <w:tcPr>
            <w:tcW w:w="7140" w:type="dxa"/>
            <w:vAlign w:val="center"/>
          </w:tcPr>
          <w:p w14:paraId="0132C011">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经营特殊管理的药品是否有符合国家规定的储存设施。</w:t>
            </w:r>
          </w:p>
        </w:tc>
      </w:tr>
      <w:tr w14:paraId="6B1A8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shd w:val="clear" w:color="auto" w:fill="auto"/>
            <w:vAlign w:val="center"/>
          </w:tcPr>
          <w:p w14:paraId="4B107F0F">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97</w:t>
            </w:r>
          </w:p>
        </w:tc>
        <w:tc>
          <w:tcPr>
            <w:tcW w:w="552" w:type="dxa"/>
            <w:vMerge w:val="restart"/>
            <w:vAlign w:val="center"/>
          </w:tcPr>
          <w:p w14:paraId="6C6EA755">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校</w:t>
            </w:r>
          </w:p>
          <w:p w14:paraId="77510833">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准</w:t>
            </w:r>
          </w:p>
          <w:p w14:paraId="679E04CA">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w:t>
            </w:r>
          </w:p>
          <w:p w14:paraId="7D69B5A8">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w:t>
            </w:r>
          </w:p>
          <w:p w14:paraId="0F9ED70D">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w:t>
            </w:r>
          </w:p>
          <w:p w14:paraId="28579593">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052C56D7">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*05301</w:t>
            </w:r>
          </w:p>
        </w:tc>
        <w:tc>
          <w:tcPr>
            <w:tcW w:w="4918" w:type="dxa"/>
            <w:vAlign w:val="center"/>
          </w:tcPr>
          <w:p w14:paraId="1E49D9DE">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企业应当按照国家有关规定，对计量器具、温湿度监测设备等定期进行校准或者检定。</w:t>
            </w:r>
          </w:p>
        </w:tc>
        <w:tc>
          <w:tcPr>
            <w:tcW w:w="7140" w:type="dxa"/>
            <w:vAlign w:val="center"/>
          </w:tcPr>
          <w:p w14:paraId="530706DC">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eastAsia="宋体" w:cs="宋体"/>
                <w:color w:val="auto"/>
                <w:sz w:val="24"/>
                <w:szCs w:val="24"/>
                <w:highlight w:val="none"/>
              </w:rPr>
              <w:t>检查企业是否有完备的校准或检</w:t>
            </w:r>
            <w:r>
              <w:rPr>
                <w:rFonts w:hint="eastAsia" w:ascii="宋体" w:hAnsi="宋体" w:cs="宋体"/>
                <w:color w:val="auto"/>
                <w:sz w:val="24"/>
                <w:szCs w:val="24"/>
                <w:highlight w:val="none"/>
                <w:lang w:eastAsia="zh-CN"/>
              </w:rPr>
              <w:t>定</w:t>
            </w:r>
            <w:r>
              <w:rPr>
                <w:rFonts w:hint="eastAsia" w:ascii="宋体" w:hAnsi="宋体" w:eastAsia="宋体" w:cs="宋体"/>
                <w:color w:val="auto"/>
                <w:sz w:val="24"/>
                <w:szCs w:val="24"/>
                <w:highlight w:val="none"/>
              </w:rPr>
              <w:t>。</w:t>
            </w:r>
          </w:p>
          <w:p w14:paraId="45B0FE98">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检查设施</w:t>
            </w:r>
            <w:r>
              <w:rPr>
                <w:rFonts w:hint="eastAsia" w:ascii="宋体" w:hAnsi="宋体" w:eastAsia="宋体" w:cs="宋体"/>
                <w:color w:val="auto"/>
                <w:sz w:val="24"/>
                <w:szCs w:val="24"/>
                <w:highlight w:val="none"/>
                <w:lang w:eastAsia="zh-CN"/>
              </w:rPr>
              <w:t>设备台账</w:t>
            </w:r>
            <w:r>
              <w:rPr>
                <w:rFonts w:hint="eastAsia" w:ascii="宋体" w:hAnsi="宋体" w:eastAsia="宋体" w:cs="宋体"/>
                <w:color w:val="auto"/>
                <w:sz w:val="24"/>
                <w:szCs w:val="24"/>
                <w:highlight w:val="none"/>
              </w:rPr>
              <w:t>，看企业校准或检定、验证是否有遗漏。</w:t>
            </w:r>
          </w:p>
          <w:p w14:paraId="3F700CA4">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3.</w:t>
            </w:r>
            <w:r>
              <w:rPr>
                <w:rFonts w:hint="eastAsia" w:ascii="宋体" w:hAnsi="宋体" w:eastAsia="宋体" w:cs="宋体"/>
                <w:color w:val="auto"/>
                <w:sz w:val="24"/>
                <w:szCs w:val="24"/>
                <w:highlight w:val="none"/>
              </w:rPr>
              <w:t>检查企业校准或检定、验证档案，对档案的完整性、真实性给予评价，对方案及其方案的合理性、方案实施等给予评估。</w:t>
            </w:r>
          </w:p>
          <w:p w14:paraId="5CD66C61">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4.</w:t>
            </w:r>
            <w:r>
              <w:rPr>
                <w:rFonts w:hint="eastAsia" w:ascii="宋体" w:hAnsi="宋体" w:eastAsia="宋体" w:cs="宋体"/>
                <w:color w:val="auto"/>
                <w:sz w:val="24"/>
                <w:szCs w:val="24"/>
                <w:highlight w:val="none"/>
              </w:rPr>
              <w:t>对委托校准或检定、验证的，检查校准或检定、验证的资质资料、双方签订的委托合同及委托事项等，检查校准或检定、验证实施单位对设施设备校准或检定、验证的方案、报告等，验证用的设施设备的校准证书复印件应当作为验证报告的必要附件，检查企业质量管理机构对委托校准或检定、验证结果的确认和应用。</w:t>
            </w:r>
          </w:p>
        </w:tc>
      </w:tr>
      <w:tr w14:paraId="2A63A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19" w:type="dxa"/>
            <w:shd w:val="clear" w:color="auto" w:fill="auto"/>
            <w:vAlign w:val="center"/>
          </w:tcPr>
          <w:p w14:paraId="65530233">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98</w:t>
            </w:r>
          </w:p>
        </w:tc>
        <w:tc>
          <w:tcPr>
            <w:tcW w:w="552" w:type="dxa"/>
            <w:vMerge w:val="continue"/>
            <w:vAlign w:val="center"/>
          </w:tcPr>
          <w:p w14:paraId="01F37B9D">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7D1D4181">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*05401</w:t>
            </w:r>
          </w:p>
        </w:tc>
        <w:tc>
          <w:tcPr>
            <w:tcW w:w="4918" w:type="dxa"/>
            <w:vAlign w:val="center"/>
          </w:tcPr>
          <w:p w14:paraId="6158A747">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企业应当根据相关验证管理制度，形成验证控制文件，包括验证方案、报告、评价、偏差处理和预防措施等。</w:t>
            </w:r>
          </w:p>
        </w:tc>
        <w:tc>
          <w:tcPr>
            <w:tcW w:w="7140" w:type="dxa"/>
            <w:vAlign w:val="center"/>
          </w:tcPr>
          <w:p w14:paraId="33BDF4B3">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基于风险评估的原则,对药品储存和运输产生影响的设施设备或药品物流关键操作均应进行校验、确认或验证，以保持其适用于既定用途和作业流程，检查是否满足以下要求：</w:t>
            </w:r>
          </w:p>
          <w:p w14:paraId="6E4468C9">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（1）用于控制或监测药品储存环境的设备应当定期进行校验、确认或验证，校验周期应当基于风险和可靠性评估确定。</w:t>
            </w:r>
          </w:p>
          <w:p w14:paraId="02EB0837">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（2）设备的校验应当可以追溯到国家或国际计量标准。</w:t>
            </w:r>
          </w:p>
          <w:p w14:paraId="0240975E">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（3）关键设施设备和关键流程应当进行确认与验证，以保证正确的安装和操作。确认和验证活动的范围、程度和周期应当采用书面的风险评估方法确定</w:t>
            </w:r>
            <w:r>
              <w:rPr>
                <w:rFonts w:hint="eastAsia" w:ascii="宋体" w:hAnsi="宋体" w:cs="宋体"/>
                <w:color w:val="auto"/>
                <w:sz w:val="24"/>
                <w:szCs w:val="24"/>
                <w:highlight w:val="none"/>
                <w:lang w:eastAsia="zh-CN"/>
              </w:rPr>
              <w:t>。</w:t>
            </w:r>
          </w:p>
          <w:p w14:paraId="5D9464A6">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（4）设备和流程在实际使用前以及重大变更后，例如维修或维护，应当分别进行确认或验证。确认或验证应当制定科学合理的可接受标准。</w:t>
            </w:r>
          </w:p>
          <w:p w14:paraId="34A9EEA2">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（5）确认或验证所得结果应当有确认或验证报告，并对所有观察到的偏差进行评估。不符合预定程序的偏差应当记录，必要时采取适当的预防纠正措施，防止其再次发生。</w:t>
            </w:r>
          </w:p>
          <w:p w14:paraId="708F1A27">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（6）应当对设施设备或系统配置适当的警报系统，当储存条件超出预定范围时启动报警，对警报系统进行验证或确认测试，以保证报警系统功能正常。</w:t>
            </w:r>
          </w:p>
          <w:p w14:paraId="28F1284F">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检查企业是否有验证管理制度、年度验证计划、验证方案和验证控制文件，针对验证结果是否制定有效的预防措施。</w:t>
            </w:r>
          </w:p>
          <w:p w14:paraId="13B6891F">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查阅冷库、储运温湿度监测系统以及冷藏运输设施设备使用人员和验证管理的质量管理机构人员、验证实施的技术人员等，了解验证的实施情况。</w:t>
            </w:r>
          </w:p>
        </w:tc>
      </w:tr>
      <w:tr w14:paraId="74BAC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19" w:type="dxa"/>
            <w:shd w:val="clear" w:color="auto" w:fill="auto"/>
            <w:vAlign w:val="center"/>
          </w:tcPr>
          <w:p w14:paraId="704A251B">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99</w:t>
            </w:r>
          </w:p>
        </w:tc>
        <w:tc>
          <w:tcPr>
            <w:tcW w:w="552" w:type="dxa"/>
            <w:vMerge w:val="continue"/>
            <w:vAlign w:val="center"/>
          </w:tcPr>
          <w:p w14:paraId="14337328">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2A53E4A6">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05501</w:t>
            </w:r>
          </w:p>
        </w:tc>
        <w:tc>
          <w:tcPr>
            <w:tcW w:w="4918" w:type="dxa"/>
            <w:vAlign w:val="center"/>
          </w:tcPr>
          <w:p w14:paraId="0AEADDF9">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验证应当按照预先确定和批准的方案实施。</w:t>
            </w:r>
          </w:p>
        </w:tc>
        <w:tc>
          <w:tcPr>
            <w:tcW w:w="7140" w:type="dxa"/>
            <w:vAlign w:val="center"/>
          </w:tcPr>
          <w:p w14:paraId="13BE9D94">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eastAsia="宋体" w:cs="宋体"/>
                <w:color w:val="auto"/>
                <w:sz w:val="24"/>
                <w:szCs w:val="24"/>
                <w:highlight w:val="none"/>
              </w:rPr>
              <w:t>检查验证方案是否符合要求。</w:t>
            </w:r>
          </w:p>
          <w:p w14:paraId="200985D5">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2.检查验证方案是否经企业质量负责人审批并批准后实施。</w:t>
            </w:r>
          </w:p>
          <w:p w14:paraId="750C7D6A">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3.检查验证是否按照验证方案组织实施。</w:t>
            </w:r>
          </w:p>
          <w:p w14:paraId="4B5F5F01">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4.检查验证数据与实际经营数据是否一致，是否完整、有效、可追溯。</w:t>
            </w:r>
          </w:p>
        </w:tc>
      </w:tr>
      <w:tr w14:paraId="30E05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19" w:type="dxa"/>
            <w:shd w:val="clear" w:color="auto" w:fill="auto"/>
            <w:vAlign w:val="center"/>
          </w:tcPr>
          <w:p w14:paraId="08D38B33">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100</w:t>
            </w:r>
          </w:p>
        </w:tc>
        <w:tc>
          <w:tcPr>
            <w:tcW w:w="552" w:type="dxa"/>
            <w:vMerge w:val="continue"/>
            <w:vAlign w:val="center"/>
          </w:tcPr>
          <w:p w14:paraId="65A06822">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715FDB2B">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05502</w:t>
            </w:r>
          </w:p>
        </w:tc>
        <w:tc>
          <w:tcPr>
            <w:tcW w:w="4918" w:type="dxa"/>
            <w:vAlign w:val="center"/>
          </w:tcPr>
          <w:p w14:paraId="7A1101C8">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验证报告应当经过审核和批准。</w:t>
            </w:r>
          </w:p>
        </w:tc>
        <w:tc>
          <w:tcPr>
            <w:tcW w:w="7140" w:type="dxa"/>
            <w:vAlign w:val="center"/>
          </w:tcPr>
          <w:p w14:paraId="18C8BA25">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.检</w:t>
            </w:r>
            <w:r>
              <w:rPr>
                <w:rFonts w:hint="eastAsia" w:ascii="宋体" w:hAnsi="宋体" w:eastAsia="宋体" w:cs="宋体"/>
                <w:color w:val="auto"/>
                <w:sz w:val="24"/>
                <w:szCs w:val="24"/>
                <w:highlight w:val="none"/>
              </w:rPr>
              <w:t>查验证报告审批手续：验证报告是否经质量</w:t>
            </w:r>
            <w:r>
              <w:rPr>
                <w:rFonts w:hint="eastAsia" w:ascii="宋体" w:hAnsi="宋体" w:cs="宋体"/>
                <w:color w:val="auto"/>
                <w:sz w:val="24"/>
                <w:szCs w:val="24"/>
                <w:highlight w:val="none"/>
                <w:lang w:eastAsia="zh-CN"/>
              </w:rPr>
              <w:t>管理</w:t>
            </w:r>
            <w:r>
              <w:rPr>
                <w:rFonts w:hint="eastAsia" w:ascii="宋体" w:hAnsi="宋体" w:eastAsia="宋体" w:cs="宋体"/>
                <w:color w:val="auto"/>
                <w:sz w:val="24"/>
                <w:szCs w:val="24"/>
                <w:highlight w:val="none"/>
              </w:rPr>
              <w:t>机构负责人审核，质量负责人批准；验证方案审批人与验证报告签字相符合。</w:t>
            </w:r>
          </w:p>
          <w:p w14:paraId="060BE277">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2.检查企业是否存在</w:t>
            </w:r>
            <w:r>
              <w:rPr>
                <w:rFonts w:hint="eastAsia" w:ascii="宋体" w:hAnsi="宋体" w:eastAsia="宋体" w:cs="宋体"/>
                <w:color w:val="auto"/>
                <w:sz w:val="24"/>
                <w:szCs w:val="24"/>
                <w:highlight w:val="none"/>
                <w:lang w:eastAsia="zh-CN"/>
              </w:rPr>
              <w:t>虚</w:t>
            </w:r>
            <w:r>
              <w:rPr>
                <w:rFonts w:hint="eastAsia" w:ascii="宋体" w:hAnsi="宋体" w:eastAsia="宋体" w:cs="宋体"/>
                <w:color w:val="auto"/>
                <w:sz w:val="24"/>
                <w:szCs w:val="24"/>
                <w:highlight w:val="none"/>
              </w:rPr>
              <w:t>假验证或者验证做假记录等现象。</w:t>
            </w:r>
          </w:p>
        </w:tc>
      </w:tr>
      <w:tr w14:paraId="06C9F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19" w:type="dxa"/>
            <w:shd w:val="clear" w:color="auto" w:fill="auto"/>
            <w:vAlign w:val="center"/>
          </w:tcPr>
          <w:p w14:paraId="1DBB8DD4">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101</w:t>
            </w:r>
          </w:p>
        </w:tc>
        <w:tc>
          <w:tcPr>
            <w:tcW w:w="552" w:type="dxa"/>
            <w:vMerge w:val="continue"/>
            <w:vAlign w:val="center"/>
          </w:tcPr>
          <w:p w14:paraId="5E5102AE">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74EF256B">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05503</w:t>
            </w:r>
          </w:p>
        </w:tc>
        <w:tc>
          <w:tcPr>
            <w:tcW w:w="4918" w:type="dxa"/>
            <w:vAlign w:val="center"/>
          </w:tcPr>
          <w:p w14:paraId="062E7B10">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验证文件应当存档。</w:t>
            </w:r>
          </w:p>
        </w:tc>
        <w:tc>
          <w:tcPr>
            <w:tcW w:w="7140" w:type="dxa"/>
            <w:vAlign w:val="center"/>
          </w:tcPr>
          <w:p w14:paraId="031BAF68">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查药品质量档案：验证控制文件是否归入药品质量管理档案，并按规定保存；立卷、归档、保管的档案是否规范。</w:t>
            </w:r>
          </w:p>
        </w:tc>
      </w:tr>
      <w:tr w14:paraId="1CFBE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19" w:type="dxa"/>
            <w:shd w:val="clear" w:color="auto" w:fill="auto"/>
            <w:vAlign w:val="center"/>
          </w:tcPr>
          <w:p w14:paraId="1224AEAB">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102</w:t>
            </w:r>
          </w:p>
        </w:tc>
        <w:tc>
          <w:tcPr>
            <w:tcW w:w="552" w:type="dxa"/>
            <w:vMerge w:val="continue"/>
            <w:vAlign w:val="center"/>
          </w:tcPr>
          <w:p w14:paraId="074917B8">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62D22130">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*05601</w:t>
            </w:r>
          </w:p>
        </w:tc>
        <w:tc>
          <w:tcPr>
            <w:tcW w:w="4918" w:type="dxa"/>
            <w:vAlign w:val="center"/>
          </w:tcPr>
          <w:p w14:paraId="13447F52">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企业应当根据验证确定的参数及条件，正确、合理使用相关设施设备。</w:t>
            </w:r>
          </w:p>
        </w:tc>
        <w:tc>
          <w:tcPr>
            <w:tcW w:w="7140" w:type="dxa"/>
            <w:vAlign w:val="center"/>
          </w:tcPr>
          <w:p w14:paraId="7DFE79BE">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1.查阅企业设备操作、使用规程中内容是否与验证结果所确定的条件一致，重点核查验证报告中所载明的参数设置。</w:t>
            </w:r>
          </w:p>
          <w:p w14:paraId="27917A65">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2.查阅冷库、冻库（如有）和冷藏车验证后应获得温度分布图，现场检查该温度分布图所确认的冷热点与日常温度监控点的记录温度是否一致，该温度分布图应用于指导冷藏、冷冻药品的存放。</w:t>
            </w:r>
          </w:p>
          <w:p w14:paraId="637830ED">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3.现场演示：工作人员的装箱操作与验证后确认的冷藏装箱方法是否一致。</w:t>
            </w:r>
          </w:p>
        </w:tc>
      </w:tr>
      <w:tr w14:paraId="73A0A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shd w:val="clear" w:color="auto" w:fill="auto"/>
            <w:vAlign w:val="center"/>
          </w:tcPr>
          <w:p w14:paraId="741AC8A6">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103</w:t>
            </w:r>
          </w:p>
        </w:tc>
        <w:tc>
          <w:tcPr>
            <w:tcW w:w="552" w:type="dxa"/>
            <w:vMerge w:val="restart"/>
            <w:vAlign w:val="center"/>
          </w:tcPr>
          <w:p w14:paraId="29571216">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w:t>
            </w:r>
          </w:p>
          <w:p w14:paraId="02F24F7C">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算</w:t>
            </w:r>
          </w:p>
          <w:p w14:paraId="7DAA1AEB">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w:t>
            </w:r>
          </w:p>
          <w:p w14:paraId="1F248E70">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p>
          <w:p w14:paraId="13BBAC49">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w:t>
            </w:r>
          </w:p>
        </w:tc>
        <w:tc>
          <w:tcPr>
            <w:tcW w:w="1127" w:type="dxa"/>
            <w:vAlign w:val="center"/>
          </w:tcPr>
          <w:p w14:paraId="2A14BB79">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*05701</w:t>
            </w:r>
          </w:p>
        </w:tc>
        <w:tc>
          <w:tcPr>
            <w:tcW w:w="4918" w:type="dxa"/>
            <w:vAlign w:val="center"/>
          </w:tcPr>
          <w:p w14:paraId="7634430D">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企业应当建立能够符合经营全过程管理及质量控制要求的计算机系统，实现药品可追溯。</w:t>
            </w:r>
          </w:p>
        </w:tc>
        <w:tc>
          <w:tcPr>
            <w:tcW w:w="7140" w:type="dxa"/>
            <w:vAlign w:val="center"/>
          </w:tcPr>
          <w:p w14:paraId="124D65FD">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eastAsia="宋体" w:cs="宋体"/>
                <w:color w:val="auto"/>
                <w:sz w:val="24"/>
                <w:szCs w:val="24"/>
                <w:highlight w:val="none"/>
              </w:rPr>
              <w:t>检查计算机系统是否符合以下要求：</w:t>
            </w:r>
          </w:p>
          <w:p w14:paraId="0645F4FB">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（1）有支持系统正常运行的服务器；</w:t>
            </w:r>
          </w:p>
          <w:p w14:paraId="79D5BA1A">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（2）质量管理、采购、收货、验收、储存、养护、出库复核、销售等岗位配备专用的终端设备；</w:t>
            </w:r>
          </w:p>
          <w:p w14:paraId="21B48A44">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（3）有稳定、安全的网络环境，有固定接入互联网的方式和可靠的信息安全平台；</w:t>
            </w:r>
          </w:p>
          <w:p w14:paraId="084C2D0D">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（4）有实现相关部门之间、岗位之间信息传输和数据共享的局域网；</w:t>
            </w:r>
          </w:p>
          <w:p w14:paraId="304723DC">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（5）有符合《规范》及企业管理实际需要的应用软件和相关数据库。</w:t>
            </w:r>
          </w:p>
        </w:tc>
      </w:tr>
      <w:tr w14:paraId="5B30E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619" w:type="dxa"/>
            <w:shd w:val="clear" w:color="auto" w:fill="auto"/>
            <w:vAlign w:val="center"/>
          </w:tcPr>
          <w:p w14:paraId="500DECA2">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104</w:t>
            </w:r>
          </w:p>
        </w:tc>
        <w:tc>
          <w:tcPr>
            <w:tcW w:w="552" w:type="dxa"/>
            <w:vMerge w:val="continue"/>
            <w:vAlign w:val="center"/>
          </w:tcPr>
          <w:p w14:paraId="6CCCEE08">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705295A8">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05801</w:t>
            </w:r>
          </w:p>
        </w:tc>
        <w:tc>
          <w:tcPr>
            <w:tcW w:w="4918" w:type="dxa"/>
            <w:vAlign w:val="center"/>
          </w:tcPr>
          <w:p w14:paraId="08F9F5B4">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企业计算机系统应当有支持系统正常运行的服务器和终端机。</w:t>
            </w:r>
          </w:p>
        </w:tc>
        <w:tc>
          <w:tcPr>
            <w:tcW w:w="7140" w:type="dxa"/>
            <w:vAlign w:val="center"/>
          </w:tcPr>
          <w:p w14:paraId="0BA5FC19">
            <w:pPr>
              <w:keepNext w:val="0"/>
              <w:keepLines w:val="0"/>
              <w:pageBreakBefore w:val="0"/>
              <w:numPr>
                <w:ilvl w:val="0"/>
                <w:numId w:val="2"/>
              </w:numPr>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检查是否有支持系统正常运行的服务器。</w:t>
            </w:r>
          </w:p>
          <w:p w14:paraId="3143973F">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质量管理、采购、收货、验收、储存、养护、出库复核、销售等岗位是否配备专用的终端设备。</w:t>
            </w:r>
          </w:p>
        </w:tc>
      </w:tr>
      <w:tr w14:paraId="16493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shd w:val="clear" w:color="auto" w:fill="auto"/>
            <w:vAlign w:val="center"/>
          </w:tcPr>
          <w:p w14:paraId="012EF79C">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105</w:t>
            </w:r>
          </w:p>
        </w:tc>
        <w:tc>
          <w:tcPr>
            <w:tcW w:w="552" w:type="dxa"/>
            <w:vMerge w:val="continue"/>
            <w:vAlign w:val="center"/>
          </w:tcPr>
          <w:p w14:paraId="50C77C21">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1FE8E79E">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05802</w:t>
            </w:r>
          </w:p>
        </w:tc>
        <w:tc>
          <w:tcPr>
            <w:tcW w:w="4918" w:type="dxa"/>
            <w:vAlign w:val="center"/>
          </w:tcPr>
          <w:p w14:paraId="75D4DED6">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企业计算机系统应当有安全稳定的网络环境、固定接入互联网的方式和安全可靠的信息平台。</w:t>
            </w:r>
          </w:p>
        </w:tc>
        <w:tc>
          <w:tcPr>
            <w:tcW w:w="7140" w:type="dxa"/>
            <w:vAlign w:val="center"/>
          </w:tcPr>
          <w:p w14:paraId="5CE39B66">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企业是否</w:t>
            </w:r>
            <w:r>
              <w:rPr>
                <w:rFonts w:hint="eastAsia" w:ascii="宋体" w:hAnsi="宋体" w:eastAsia="宋体" w:cs="宋体"/>
                <w:color w:val="auto"/>
                <w:sz w:val="24"/>
                <w:szCs w:val="24"/>
                <w:highlight w:val="none"/>
                <w:lang w:eastAsia="zh-CN"/>
              </w:rPr>
              <w:t>有</w:t>
            </w:r>
            <w:r>
              <w:rPr>
                <w:rFonts w:hint="eastAsia" w:ascii="宋体" w:hAnsi="宋体" w:eastAsia="宋体" w:cs="宋体"/>
                <w:color w:val="auto"/>
                <w:sz w:val="24"/>
                <w:szCs w:val="24"/>
                <w:highlight w:val="none"/>
              </w:rPr>
              <w:t>稳定、安全的网络环境，有固定接入互联网的方式和可靠的信息安全平台。</w:t>
            </w:r>
          </w:p>
        </w:tc>
      </w:tr>
      <w:tr w14:paraId="00A41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shd w:val="clear" w:color="auto" w:fill="auto"/>
            <w:vAlign w:val="center"/>
          </w:tcPr>
          <w:p w14:paraId="4162BAF8">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106</w:t>
            </w:r>
          </w:p>
        </w:tc>
        <w:tc>
          <w:tcPr>
            <w:tcW w:w="552" w:type="dxa"/>
            <w:vMerge w:val="continue"/>
            <w:vAlign w:val="center"/>
          </w:tcPr>
          <w:p w14:paraId="0B7C05EC">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30B80316">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05803</w:t>
            </w:r>
          </w:p>
        </w:tc>
        <w:tc>
          <w:tcPr>
            <w:tcW w:w="4918" w:type="dxa"/>
            <w:vAlign w:val="center"/>
          </w:tcPr>
          <w:p w14:paraId="0705B973">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企业计算机系统应当有实现部门之间、岗位之间信息传输和数据共享的局域网。</w:t>
            </w:r>
          </w:p>
        </w:tc>
        <w:tc>
          <w:tcPr>
            <w:tcW w:w="7140" w:type="dxa"/>
            <w:vAlign w:val="center"/>
          </w:tcPr>
          <w:p w14:paraId="0FBCA008">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企业是否有实现相关部门之间、岗位之间信息传输和数据共享的网络。</w:t>
            </w:r>
          </w:p>
        </w:tc>
      </w:tr>
      <w:tr w14:paraId="5E0FD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19" w:type="dxa"/>
            <w:shd w:val="clear" w:color="auto" w:fill="auto"/>
            <w:vAlign w:val="center"/>
          </w:tcPr>
          <w:p w14:paraId="7651D550">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107</w:t>
            </w:r>
          </w:p>
        </w:tc>
        <w:tc>
          <w:tcPr>
            <w:tcW w:w="552" w:type="dxa"/>
            <w:vMerge w:val="continue"/>
            <w:vAlign w:val="center"/>
          </w:tcPr>
          <w:p w14:paraId="2293B132">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7E99256D">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05804</w:t>
            </w:r>
          </w:p>
        </w:tc>
        <w:tc>
          <w:tcPr>
            <w:tcW w:w="4918" w:type="dxa"/>
            <w:vAlign w:val="center"/>
          </w:tcPr>
          <w:p w14:paraId="390E7D5C">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企业计算机系统应当有药品经营业务票据生成、打印和管理功能。</w:t>
            </w:r>
          </w:p>
        </w:tc>
        <w:tc>
          <w:tcPr>
            <w:tcW w:w="7140" w:type="dxa"/>
            <w:vAlign w:val="center"/>
          </w:tcPr>
          <w:p w14:paraId="2AA6172F">
            <w:pPr>
              <w:keepNext w:val="0"/>
              <w:keepLines w:val="0"/>
              <w:pageBreakBefore w:val="0"/>
              <w:numPr>
                <w:ilvl w:val="0"/>
                <w:numId w:val="3"/>
              </w:numPr>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检查计算机系统是否有自动生成采购记录、销售记录。</w:t>
            </w:r>
          </w:p>
          <w:p w14:paraId="428FC6F8">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检查计算机系统是否有药品经营业务票据生成、打印和管理功能。</w:t>
            </w:r>
          </w:p>
        </w:tc>
      </w:tr>
      <w:tr w14:paraId="1EB27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619" w:type="dxa"/>
            <w:shd w:val="clear" w:color="auto" w:fill="auto"/>
            <w:vAlign w:val="center"/>
          </w:tcPr>
          <w:p w14:paraId="1DDF6E1E">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108</w:t>
            </w:r>
          </w:p>
        </w:tc>
        <w:tc>
          <w:tcPr>
            <w:tcW w:w="552" w:type="dxa"/>
            <w:vMerge w:val="continue"/>
            <w:vAlign w:val="center"/>
          </w:tcPr>
          <w:p w14:paraId="1DDE20F2">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032DB674">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**05805</w:t>
            </w:r>
          </w:p>
        </w:tc>
        <w:tc>
          <w:tcPr>
            <w:tcW w:w="4918" w:type="dxa"/>
            <w:vAlign w:val="center"/>
          </w:tcPr>
          <w:p w14:paraId="79F75760">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企业计算机系统应当有符合《规范》要求及企业管理实际需要的应用软件和相关数据库。</w:t>
            </w:r>
          </w:p>
        </w:tc>
        <w:tc>
          <w:tcPr>
            <w:tcW w:w="7140" w:type="dxa"/>
            <w:vAlign w:val="center"/>
          </w:tcPr>
          <w:p w14:paraId="11F15B5F">
            <w:pPr>
              <w:keepNext w:val="0"/>
              <w:keepLines w:val="0"/>
              <w:pageBreakBefore w:val="0"/>
              <w:kinsoku/>
              <w:wordWrap/>
              <w:overflowPunct/>
              <w:topLinePunct w:val="0"/>
              <w:autoSpaceDE w:val="0"/>
              <w:autoSpaceDN w:val="0"/>
              <w:bidi w:val="0"/>
              <w:adjustRightInd/>
              <w:spacing w:line="32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strike w:val="0"/>
                <w:color w:val="auto"/>
                <w:sz w:val="24"/>
                <w:szCs w:val="24"/>
                <w:highlight w:val="none"/>
                <w:lang w:eastAsia="zh-CN"/>
              </w:rPr>
              <w:t>检查企业是否有符合规范要求的</w:t>
            </w:r>
            <w:r>
              <w:rPr>
                <w:rFonts w:hint="eastAsia" w:ascii="宋体" w:hAnsi="宋体" w:cs="宋体"/>
                <w:strike w:val="0"/>
                <w:color w:val="auto"/>
                <w:sz w:val="24"/>
                <w:szCs w:val="24"/>
                <w:highlight w:val="none"/>
                <w:lang w:val="en-US" w:eastAsia="zh-CN"/>
              </w:rPr>
              <w:t>ERP系统。</w:t>
            </w:r>
          </w:p>
        </w:tc>
      </w:tr>
      <w:tr w14:paraId="55409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619" w:type="dxa"/>
            <w:shd w:val="clear" w:color="auto" w:fill="auto"/>
            <w:vAlign w:val="center"/>
          </w:tcPr>
          <w:p w14:paraId="26CEBA30">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109</w:t>
            </w:r>
          </w:p>
        </w:tc>
        <w:tc>
          <w:tcPr>
            <w:tcW w:w="552" w:type="dxa"/>
            <w:vMerge w:val="continue"/>
            <w:vAlign w:val="center"/>
          </w:tcPr>
          <w:p w14:paraId="030DD584">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19B6E224">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*05901</w:t>
            </w:r>
          </w:p>
        </w:tc>
        <w:tc>
          <w:tcPr>
            <w:tcW w:w="4918" w:type="dxa"/>
            <w:vAlign w:val="center"/>
          </w:tcPr>
          <w:p w14:paraId="21598FA9">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计算机系统各类数据的录入、修改、保存等操作应当符合授权范围、操作规程和管理制度的要求，保证数据原始、真实、准确、安全和可追溯。</w:t>
            </w:r>
          </w:p>
        </w:tc>
        <w:tc>
          <w:tcPr>
            <w:tcW w:w="7140" w:type="dxa"/>
            <w:vAlign w:val="center"/>
          </w:tcPr>
          <w:p w14:paraId="132A7863">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eastAsia="宋体" w:cs="宋体"/>
                <w:color w:val="auto"/>
                <w:sz w:val="24"/>
                <w:szCs w:val="24"/>
                <w:highlight w:val="none"/>
              </w:rPr>
              <w:t>检查计算机管理系统是否符合要求。计算机管理制度和操作规程是否与计算机系统实际相一致。</w:t>
            </w:r>
          </w:p>
          <w:p w14:paraId="2D747B66">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各岗位操作权限是否有审批。</w:t>
            </w:r>
          </w:p>
          <w:p w14:paraId="768A9B74">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3.</w:t>
            </w:r>
            <w:r>
              <w:rPr>
                <w:rFonts w:hint="eastAsia" w:ascii="宋体" w:hAnsi="宋体" w:eastAsia="宋体" w:cs="宋体"/>
                <w:color w:val="auto"/>
                <w:sz w:val="24"/>
                <w:szCs w:val="24"/>
                <w:highlight w:val="none"/>
              </w:rPr>
              <w:t>系统操作人员是否通过输入用户名及密码等身份确认方式登录，在权限范围内录入、查询数据，系统自动生成操作人员姓名、日期和时间，不得采用手工编辑或菜单选择等方式录入。</w:t>
            </w:r>
          </w:p>
          <w:p w14:paraId="1F855F29">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4.</w:t>
            </w:r>
            <w:r>
              <w:rPr>
                <w:rFonts w:hint="eastAsia" w:ascii="宋体" w:hAnsi="宋体" w:eastAsia="宋体" w:cs="宋体"/>
                <w:color w:val="auto"/>
                <w:sz w:val="24"/>
                <w:szCs w:val="24"/>
                <w:highlight w:val="none"/>
              </w:rPr>
              <w:t>各岗位人员的实际操作是否与本企业业务流程、授权范围相符。</w:t>
            </w:r>
          </w:p>
          <w:p w14:paraId="22B932BA">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5.</w:t>
            </w:r>
            <w:r>
              <w:rPr>
                <w:rFonts w:hint="eastAsia" w:ascii="宋体" w:hAnsi="宋体" w:eastAsia="宋体" w:cs="宋体"/>
                <w:color w:val="auto"/>
                <w:sz w:val="24"/>
                <w:szCs w:val="24"/>
                <w:highlight w:val="none"/>
              </w:rPr>
              <w:t>计算机数据保存的方法、时限是否符合要求。</w:t>
            </w:r>
          </w:p>
          <w:p w14:paraId="70C73A15">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6.</w:t>
            </w:r>
            <w:r>
              <w:rPr>
                <w:rFonts w:hint="eastAsia" w:ascii="宋体" w:hAnsi="宋体" w:eastAsia="宋体" w:cs="宋体"/>
                <w:color w:val="auto"/>
                <w:sz w:val="24"/>
                <w:szCs w:val="24"/>
                <w:highlight w:val="none"/>
              </w:rPr>
              <w:t>各类业务经营数据是否经质量管理人员审核批准后方可修改，修改的原因和过程应当在系统中记录，保证数据原始、真实、准确、安全和可追溯。</w:t>
            </w:r>
          </w:p>
          <w:p w14:paraId="6AEC21EF">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7.</w:t>
            </w:r>
            <w:r>
              <w:rPr>
                <w:rFonts w:hint="eastAsia" w:ascii="宋体" w:hAnsi="宋体" w:eastAsia="宋体" w:cs="宋体"/>
                <w:color w:val="auto"/>
                <w:sz w:val="24"/>
                <w:szCs w:val="24"/>
                <w:highlight w:val="none"/>
              </w:rPr>
              <w:t>质量管理基础数据是否由专门的质量</w:t>
            </w:r>
            <w:r>
              <w:rPr>
                <w:rFonts w:hint="eastAsia" w:ascii="宋体" w:hAnsi="宋体" w:eastAsia="宋体" w:cs="宋体"/>
                <w:color w:val="auto"/>
                <w:sz w:val="24"/>
                <w:szCs w:val="24"/>
                <w:highlight w:val="none"/>
                <w:lang w:eastAsia="zh-CN"/>
              </w:rPr>
              <w:t>管理人员</w:t>
            </w:r>
            <w:r>
              <w:rPr>
                <w:rFonts w:hint="eastAsia" w:ascii="宋体" w:hAnsi="宋体" w:eastAsia="宋体" w:cs="宋体"/>
                <w:color w:val="auto"/>
                <w:sz w:val="24"/>
                <w:szCs w:val="24"/>
                <w:highlight w:val="none"/>
              </w:rPr>
              <w:t>管理维护。</w:t>
            </w:r>
          </w:p>
        </w:tc>
      </w:tr>
      <w:tr w14:paraId="1A3F5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shd w:val="clear" w:color="auto" w:fill="auto"/>
            <w:vAlign w:val="center"/>
          </w:tcPr>
          <w:p w14:paraId="5B22F1A2">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110</w:t>
            </w:r>
          </w:p>
        </w:tc>
        <w:tc>
          <w:tcPr>
            <w:tcW w:w="552" w:type="dxa"/>
            <w:vMerge w:val="continue"/>
            <w:vAlign w:val="center"/>
          </w:tcPr>
          <w:p w14:paraId="118ED87B">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7936C387">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*06001</w:t>
            </w:r>
          </w:p>
        </w:tc>
        <w:tc>
          <w:tcPr>
            <w:tcW w:w="4918" w:type="dxa"/>
            <w:vAlign w:val="center"/>
          </w:tcPr>
          <w:p w14:paraId="322F9F16">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计算机系统运行中涉及企业经营和管理的数据应当采用安全、可靠的方式储存并按日备份，备份数据应当存放在安全场所。</w:t>
            </w:r>
          </w:p>
        </w:tc>
        <w:tc>
          <w:tcPr>
            <w:tcW w:w="7140" w:type="dxa"/>
            <w:vAlign w:val="center"/>
          </w:tcPr>
          <w:p w14:paraId="658165BE">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eastAsia="宋体" w:cs="宋体"/>
                <w:color w:val="auto"/>
                <w:sz w:val="24"/>
                <w:szCs w:val="24"/>
                <w:highlight w:val="none"/>
              </w:rPr>
              <w:t>检查企业是否根据计算机管理制度对系统各类记录和数据进行安全管理。</w:t>
            </w:r>
          </w:p>
          <w:p w14:paraId="5937FE82">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是否采用安全、可靠的方式存储、备份。</w:t>
            </w:r>
          </w:p>
          <w:p w14:paraId="3911AD3A">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3.</w:t>
            </w:r>
            <w:r>
              <w:rPr>
                <w:rFonts w:hint="eastAsia" w:ascii="宋体" w:hAnsi="宋体" w:eastAsia="宋体" w:cs="宋体"/>
                <w:color w:val="auto"/>
                <w:sz w:val="24"/>
                <w:szCs w:val="24"/>
                <w:highlight w:val="none"/>
              </w:rPr>
              <w:t>是否按日进行数据备份。</w:t>
            </w:r>
          </w:p>
          <w:p w14:paraId="66ECB753">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4.</w:t>
            </w:r>
            <w:r>
              <w:rPr>
                <w:rFonts w:hint="eastAsia" w:ascii="宋体" w:hAnsi="宋体" w:eastAsia="宋体" w:cs="宋体"/>
                <w:color w:val="auto"/>
                <w:sz w:val="24"/>
                <w:szCs w:val="24"/>
                <w:highlight w:val="none"/>
              </w:rPr>
              <w:t>备份记录和数据的介质是否存放于安全场所，以防止与服务器同时遭遇灾害造成损坏或丢失。</w:t>
            </w:r>
          </w:p>
        </w:tc>
      </w:tr>
    </w:tbl>
    <w:p w14:paraId="5A700B04">
      <w:pPr>
        <w:rPr>
          <w:rFonts w:hint="eastAsia" w:ascii="黑体" w:eastAsia="黑体"/>
          <w:color w:val="auto"/>
          <w:sz w:val="24"/>
          <w:szCs w:val="24"/>
          <w:highlight w:val="none"/>
        </w:rPr>
      </w:pPr>
      <w:r>
        <w:rPr>
          <w:rFonts w:hint="eastAsia" w:ascii="黑体" w:eastAsia="黑体"/>
          <w:color w:val="auto"/>
          <w:sz w:val="24"/>
          <w:szCs w:val="24"/>
          <w:highlight w:val="none"/>
        </w:rPr>
        <w:br w:type="page"/>
      </w:r>
    </w:p>
    <w:p w14:paraId="799F60F1">
      <w:pPr>
        <w:rPr>
          <w:rFonts w:hint="eastAsia" w:ascii="黑体" w:eastAsia="黑体"/>
          <w:color w:val="auto"/>
          <w:sz w:val="32"/>
          <w:szCs w:val="32"/>
          <w:highlight w:val="none"/>
        </w:rPr>
      </w:pPr>
      <w:r>
        <w:rPr>
          <w:rFonts w:hint="eastAsia" w:ascii="黑体" w:eastAsia="黑体"/>
          <w:color w:val="auto"/>
          <w:sz w:val="32"/>
          <w:szCs w:val="32"/>
          <w:highlight w:val="none"/>
        </w:rPr>
        <w:t>经营冷藏、冷冻药品</w:t>
      </w:r>
    </w:p>
    <w:p w14:paraId="73FF158C">
      <w:pPr>
        <w:pStyle w:val="2"/>
        <w:rPr>
          <w:color w:val="auto"/>
          <w:sz w:val="24"/>
          <w:szCs w:val="24"/>
          <w:highlight w:val="none"/>
        </w:rPr>
      </w:pPr>
    </w:p>
    <w:tbl>
      <w:tblPr>
        <w:tblStyle w:val="12"/>
        <w:tblW w:w="14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4"/>
        <w:gridCol w:w="525"/>
        <w:gridCol w:w="1155"/>
        <w:gridCol w:w="4968"/>
        <w:gridCol w:w="7122"/>
      </w:tblGrid>
      <w:tr w14:paraId="417C9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14" w:type="dxa"/>
            <w:shd w:val="clear" w:color="auto" w:fill="auto"/>
            <w:vAlign w:val="center"/>
          </w:tcPr>
          <w:p w14:paraId="5429A608">
            <w:pPr>
              <w:keepNext w:val="0"/>
              <w:keepLines w:val="0"/>
              <w:pageBreakBefore w:val="0"/>
              <w:kinsoku/>
              <w:wordWrap/>
              <w:overflowPunct/>
              <w:topLinePunct w:val="0"/>
              <w:autoSpaceDE w:val="0"/>
              <w:autoSpaceDN w:val="0"/>
              <w:bidi w:val="0"/>
              <w:adjustRightInd/>
              <w:spacing w:line="320" w:lineRule="exact"/>
              <w:ind w:lef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680" w:type="dxa"/>
            <w:gridSpan w:val="2"/>
            <w:shd w:val="clear" w:color="auto" w:fill="auto"/>
            <w:vAlign w:val="center"/>
          </w:tcPr>
          <w:p w14:paraId="5EAA04C6">
            <w:pPr>
              <w:keepNext w:val="0"/>
              <w:keepLines w:val="0"/>
              <w:pageBreakBefore w:val="0"/>
              <w:kinsoku/>
              <w:wordWrap/>
              <w:overflowPunct/>
              <w:topLinePunct w:val="0"/>
              <w:autoSpaceDE w:val="0"/>
              <w:autoSpaceDN w:val="0"/>
              <w:bidi w:val="0"/>
              <w:adjustRightInd/>
              <w:spacing w:line="320" w:lineRule="exact"/>
              <w:ind w:left="0"/>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内容</w:t>
            </w:r>
          </w:p>
          <w:p w14:paraId="6F4B3D67">
            <w:pPr>
              <w:pStyle w:val="2"/>
              <w:jc w:val="center"/>
              <w:rPr>
                <w:rFonts w:hint="eastAsia"/>
                <w:color w:val="auto"/>
                <w:highlight w:val="none"/>
                <w:lang w:eastAsia="zh-CN"/>
              </w:rPr>
            </w:pPr>
            <w:r>
              <w:rPr>
                <w:rFonts w:hint="eastAsia" w:ascii="宋体" w:hAnsi="宋体" w:cs="宋体"/>
                <w:b/>
                <w:bCs/>
                <w:color w:val="auto"/>
                <w:sz w:val="24"/>
                <w:szCs w:val="24"/>
                <w:highlight w:val="none"/>
                <w:lang w:eastAsia="zh-CN"/>
              </w:rPr>
              <w:t>（条款号）</w:t>
            </w:r>
          </w:p>
        </w:tc>
        <w:tc>
          <w:tcPr>
            <w:tcW w:w="4968" w:type="dxa"/>
            <w:shd w:val="clear" w:color="auto" w:fill="auto"/>
            <w:vAlign w:val="center"/>
          </w:tcPr>
          <w:p w14:paraId="413ADB8F">
            <w:pPr>
              <w:keepNext w:val="0"/>
              <w:keepLines w:val="0"/>
              <w:pageBreakBefore w:val="0"/>
              <w:kinsoku/>
              <w:wordWrap/>
              <w:overflowPunct/>
              <w:topLinePunct w:val="0"/>
              <w:autoSpaceDE w:val="0"/>
              <w:autoSpaceDN w:val="0"/>
              <w:bidi w:val="0"/>
              <w:adjustRightInd/>
              <w:spacing w:line="320" w:lineRule="exact"/>
              <w:ind w:lef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检查项目</w:t>
            </w:r>
          </w:p>
        </w:tc>
        <w:tc>
          <w:tcPr>
            <w:tcW w:w="7122" w:type="dxa"/>
            <w:shd w:val="clear" w:color="auto" w:fill="auto"/>
            <w:vAlign w:val="center"/>
          </w:tcPr>
          <w:p w14:paraId="14DB9D1A">
            <w:pPr>
              <w:keepNext w:val="0"/>
              <w:keepLines w:val="0"/>
              <w:pageBreakBefore w:val="0"/>
              <w:kinsoku/>
              <w:wordWrap/>
              <w:overflowPunct/>
              <w:topLinePunct w:val="0"/>
              <w:autoSpaceDE w:val="0"/>
              <w:autoSpaceDN w:val="0"/>
              <w:bidi w:val="0"/>
              <w:adjustRightInd/>
              <w:spacing w:line="320" w:lineRule="exact"/>
              <w:ind w:lef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检查细则</w:t>
            </w:r>
          </w:p>
        </w:tc>
      </w:tr>
      <w:tr w14:paraId="57D00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4384" w:type="dxa"/>
            <w:gridSpan w:val="5"/>
          </w:tcPr>
          <w:p w14:paraId="0977C4DD">
            <w:pPr>
              <w:keepNext w:val="0"/>
              <w:keepLines w:val="0"/>
              <w:pageBreakBefore w:val="0"/>
              <w:tabs>
                <w:tab w:val="left" w:pos="251"/>
              </w:tabs>
              <w:kinsoku/>
              <w:wordWrap/>
              <w:overflowPunct/>
              <w:topLinePunct w:val="0"/>
              <w:autoSpaceDE w:val="0"/>
              <w:autoSpaceDN w:val="0"/>
              <w:bidi w:val="0"/>
              <w:adjustRightInd/>
              <w:snapToGrid w:val="0"/>
              <w:spacing w:line="320" w:lineRule="exact"/>
              <w:ind w:left="0"/>
              <w:jc w:val="both"/>
              <w:rPr>
                <w:rFonts w:hint="eastAsia" w:ascii="宋体" w:hAnsi="宋体" w:cs="宋体"/>
                <w:color w:val="auto"/>
                <w:sz w:val="24"/>
                <w:szCs w:val="24"/>
                <w:highlight w:val="none"/>
                <w:lang w:eastAsia="zh-CN"/>
              </w:rPr>
            </w:pPr>
            <w:r>
              <w:rPr>
                <w:rFonts w:hint="eastAsia" w:ascii="楷体" w:hAnsi="楷体" w:eastAsia="楷体" w:cs="楷体"/>
                <w:b w:val="0"/>
                <w:bCs/>
                <w:color w:val="auto"/>
                <w:sz w:val="24"/>
                <w:szCs w:val="24"/>
                <w:highlight w:val="none"/>
              </w:rPr>
              <w:t>药品经营质量管理规范符合性</w:t>
            </w:r>
          </w:p>
        </w:tc>
      </w:tr>
      <w:tr w14:paraId="6CFDC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614" w:type="dxa"/>
          </w:tcPr>
          <w:p w14:paraId="0E5B6B76">
            <w:pPr>
              <w:pStyle w:val="3"/>
              <w:keepNext w:val="0"/>
              <w:keepLines w:val="0"/>
              <w:pageBreakBefore w:val="0"/>
              <w:kinsoku/>
              <w:wordWrap/>
              <w:overflowPunct/>
              <w:topLinePunct w:val="0"/>
              <w:bidi w:val="0"/>
              <w:adjustRightInd/>
              <w:spacing w:line="320" w:lineRule="exact"/>
              <w:ind w:left="0"/>
              <w:jc w:val="both"/>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525" w:type="dxa"/>
          </w:tcPr>
          <w:p w14:paraId="2E417CEF">
            <w:pPr>
              <w:pStyle w:val="3"/>
              <w:keepNext w:val="0"/>
              <w:keepLines w:val="0"/>
              <w:pageBreakBefore w:val="0"/>
              <w:kinsoku/>
              <w:wordWrap/>
              <w:overflowPunct/>
              <w:topLinePunct w:val="0"/>
              <w:bidi w:val="0"/>
              <w:adjustRightInd/>
              <w:spacing w:line="320" w:lineRule="exact"/>
              <w:ind w:left="0"/>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人员与培训</w:t>
            </w:r>
          </w:p>
        </w:tc>
        <w:tc>
          <w:tcPr>
            <w:tcW w:w="1155" w:type="dxa"/>
            <w:shd w:val="clear" w:color="auto" w:fill="auto"/>
            <w:vAlign w:val="center"/>
          </w:tcPr>
          <w:p w14:paraId="245A91B3">
            <w:pPr>
              <w:keepNext w:val="0"/>
              <w:keepLines w:val="0"/>
              <w:pageBreakBefore w:val="0"/>
              <w:kinsoku/>
              <w:wordWrap/>
              <w:overflowPunct/>
              <w:topLinePunct w:val="0"/>
              <w:autoSpaceDE w:val="0"/>
              <w:autoSpaceDN w:val="0"/>
              <w:bidi w:val="0"/>
              <w:adjustRightInd/>
              <w:spacing w:line="320" w:lineRule="exact"/>
              <w:ind w:lef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*02802</w:t>
            </w:r>
          </w:p>
        </w:tc>
        <w:tc>
          <w:tcPr>
            <w:tcW w:w="4968" w:type="dxa"/>
            <w:shd w:val="clear" w:color="auto" w:fill="auto"/>
            <w:vAlign w:val="center"/>
          </w:tcPr>
          <w:p w14:paraId="4A5AF29C">
            <w:pPr>
              <w:keepNext w:val="0"/>
              <w:keepLines w:val="0"/>
              <w:pageBreakBefore w:val="0"/>
              <w:kinsoku/>
              <w:wordWrap/>
              <w:overflowPunct/>
              <w:topLinePunct w:val="0"/>
              <w:autoSpaceDE w:val="0"/>
              <w:autoSpaceDN w:val="0"/>
              <w:bidi w:val="0"/>
              <w:adjustRightInd/>
              <w:spacing w:line="320" w:lineRule="exact"/>
              <w:ind w:lef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从事冷藏冷冻药品储存、运输等工作的人员，应当接受相关法律法规和专业知识培训并经考核合格后方可上岗。</w:t>
            </w:r>
          </w:p>
        </w:tc>
        <w:tc>
          <w:tcPr>
            <w:tcW w:w="7122" w:type="dxa"/>
            <w:shd w:val="clear" w:color="auto" w:fill="auto"/>
            <w:vAlign w:val="center"/>
          </w:tcPr>
          <w:p w14:paraId="3EF947E6">
            <w:pPr>
              <w:keepNext w:val="0"/>
              <w:keepLines w:val="0"/>
              <w:pageBreakBefore w:val="0"/>
              <w:tabs>
                <w:tab w:val="left" w:pos="251"/>
              </w:tabs>
              <w:kinsoku/>
              <w:wordWrap/>
              <w:overflowPunct/>
              <w:topLinePunct w:val="0"/>
              <w:autoSpaceDE w:val="0"/>
              <w:autoSpaceDN w:val="0"/>
              <w:bidi w:val="0"/>
              <w:adjustRightInd/>
              <w:snapToGrid w:val="0"/>
              <w:spacing w:line="320" w:lineRule="exact"/>
              <w:ind w:left="0"/>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eastAsia="宋体" w:cs="宋体"/>
                <w:color w:val="auto"/>
                <w:sz w:val="24"/>
                <w:szCs w:val="24"/>
                <w:highlight w:val="none"/>
              </w:rPr>
              <w:t>查阅冷藏冷冻药品岗位人员的培训记录，确认其任该岗位接受过冷链管理、温度控制等专业知识培训。</w:t>
            </w:r>
          </w:p>
          <w:p w14:paraId="19B6164B">
            <w:pPr>
              <w:keepNext w:val="0"/>
              <w:keepLines w:val="0"/>
              <w:pageBreakBefore w:val="0"/>
              <w:tabs>
                <w:tab w:val="left" w:pos="251"/>
              </w:tabs>
              <w:kinsoku/>
              <w:wordWrap/>
              <w:overflowPunct/>
              <w:topLinePunct w:val="0"/>
              <w:autoSpaceDE w:val="0"/>
              <w:autoSpaceDN w:val="0"/>
              <w:bidi w:val="0"/>
              <w:adjustRightInd/>
              <w:snapToGrid w:val="0"/>
              <w:spacing w:line="320" w:lineRule="exact"/>
              <w:ind w:left="0"/>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现场模拟冷链设备操作流程，考核其是否会按程序执行。</w:t>
            </w:r>
          </w:p>
        </w:tc>
      </w:tr>
      <w:tr w14:paraId="7F633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Pr>
          <w:p w14:paraId="4E4329D9">
            <w:pPr>
              <w:pStyle w:val="3"/>
              <w:keepNext w:val="0"/>
              <w:keepLines w:val="0"/>
              <w:pageBreakBefore w:val="0"/>
              <w:kinsoku/>
              <w:wordWrap/>
              <w:overflowPunct/>
              <w:topLinePunct w:val="0"/>
              <w:bidi w:val="0"/>
              <w:adjustRightInd/>
              <w:spacing w:line="320" w:lineRule="exact"/>
              <w:ind w:left="0"/>
              <w:jc w:val="both"/>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525" w:type="dxa"/>
            <w:vMerge w:val="restart"/>
          </w:tcPr>
          <w:p w14:paraId="1C87E1A5">
            <w:pPr>
              <w:pStyle w:val="3"/>
              <w:keepNext w:val="0"/>
              <w:keepLines w:val="0"/>
              <w:pageBreakBefore w:val="0"/>
              <w:kinsoku/>
              <w:wordWrap/>
              <w:overflowPunct/>
              <w:topLinePunct w:val="0"/>
              <w:bidi w:val="0"/>
              <w:adjustRightInd/>
              <w:spacing w:line="320" w:lineRule="exact"/>
              <w:ind w:left="0"/>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设施与设备</w:t>
            </w:r>
          </w:p>
        </w:tc>
        <w:tc>
          <w:tcPr>
            <w:tcW w:w="1155" w:type="dxa"/>
            <w:shd w:val="clear" w:color="auto" w:fill="auto"/>
            <w:vAlign w:val="center"/>
          </w:tcPr>
          <w:p w14:paraId="1A1727A2">
            <w:pPr>
              <w:keepNext w:val="0"/>
              <w:keepLines w:val="0"/>
              <w:pageBreakBefore w:val="0"/>
              <w:kinsoku/>
              <w:wordWrap/>
              <w:overflowPunct/>
              <w:topLinePunct w:val="0"/>
              <w:autoSpaceDE w:val="0"/>
              <w:autoSpaceDN w:val="0"/>
              <w:bidi w:val="0"/>
              <w:adjustRightInd/>
              <w:spacing w:line="320" w:lineRule="exact"/>
              <w:ind w:lef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*04901</w:t>
            </w:r>
          </w:p>
        </w:tc>
        <w:tc>
          <w:tcPr>
            <w:tcW w:w="4968" w:type="dxa"/>
            <w:shd w:val="clear" w:color="auto" w:fill="auto"/>
            <w:vAlign w:val="center"/>
          </w:tcPr>
          <w:p w14:paraId="38EC84CB">
            <w:pPr>
              <w:keepNext w:val="0"/>
              <w:keepLines w:val="0"/>
              <w:pageBreakBefore w:val="0"/>
              <w:kinsoku/>
              <w:wordWrap/>
              <w:overflowPunct/>
              <w:topLinePunct w:val="0"/>
              <w:autoSpaceDE w:val="0"/>
              <w:autoSpaceDN w:val="0"/>
              <w:bidi w:val="0"/>
              <w:adjustRightInd/>
              <w:spacing w:line="320" w:lineRule="exact"/>
              <w:ind w:lef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经营冷藏、冷冻药品的，应当配备与其经营规模和品种相适应的冷库。</w:t>
            </w:r>
          </w:p>
        </w:tc>
        <w:tc>
          <w:tcPr>
            <w:tcW w:w="7122" w:type="dxa"/>
            <w:shd w:val="clear" w:color="auto" w:fill="auto"/>
            <w:vAlign w:val="center"/>
          </w:tcPr>
          <w:p w14:paraId="24D0AC85">
            <w:pPr>
              <w:keepNext w:val="0"/>
              <w:keepLines w:val="0"/>
              <w:pageBreakBefore w:val="0"/>
              <w:tabs>
                <w:tab w:val="left" w:pos="251"/>
              </w:tabs>
              <w:kinsoku/>
              <w:wordWrap/>
              <w:overflowPunct/>
              <w:topLinePunct w:val="0"/>
              <w:autoSpaceDE w:val="0"/>
              <w:autoSpaceDN w:val="0"/>
              <w:bidi w:val="0"/>
              <w:adjustRightInd/>
              <w:snapToGrid w:val="0"/>
              <w:spacing w:line="320" w:lineRule="exact"/>
              <w:ind w:lef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检查冷库是否满足以下要求：</w:t>
            </w:r>
          </w:p>
          <w:p w14:paraId="7437BF5C">
            <w:pPr>
              <w:keepNext w:val="0"/>
              <w:keepLines w:val="0"/>
              <w:pageBreakBefore w:val="0"/>
              <w:tabs>
                <w:tab w:val="left" w:pos="251"/>
              </w:tabs>
              <w:kinsoku/>
              <w:wordWrap/>
              <w:overflowPunct/>
              <w:topLinePunct w:val="0"/>
              <w:autoSpaceDE w:val="0"/>
              <w:autoSpaceDN w:val="0"/>
              <w:bidi w:val="0"/>
              <w:adjustRightInd/>
              <w:snapToGrid w:val="0"/>
              <w:spacing w:line="320" w:lineRule="exact"/>
              <w:ind w:left="0"/>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eastAsia="宋体" w:cs="宋体"/>
                <w:color w:val="auto"/>
                <w:sz w:val="24"/>
                <w:szCs w:val="24"/>
                <w:highlight w:val="none"/>
              </w:rPr>
              <w:t>配备与其经营规模和品种相适应的冷库，容积不少于50立方米；</w:t>
            </w:r>
            <w:r>
              <w:rPr>
                <w:rFonts w:hint="eastAsia" w:ascii="宋体" w:hAnsi="宋体" w:eastAsia="宋体" w:cs="宋体"/>
                <w:color w:val="auto"/>
                <w:sz w:val="24"/>
                <w:szCs w:val="24"/>
                <w:highlight w:val="none"/>
              </w:rPr>
              <w:br w:type="textWrapping"/>
            </w: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冷库应当配备温度自动监测、显示、记录、调控、报警的设备；</w:t>
            </w:r>
          </w:p>
          <w:p w14:paraId="299DB0E8">
            <w:pPr>
              <w:keepNext w:val="0"/>
              <w:keepLines w:val="0"/>
              <w:pageBreakBefore w:val="0"/>
              <w:tabs>
                <w:tab w:val="left" w:pos="251"/>
              </w:tabs>
              <w:kinsoku/>
              <w:wordWrap/>
              <w:overflowPunct/>
              <w:topLinePunct w:val="0"/>
              <w:autoSpaceDE w:val="0"/>
              <w:autoSpaceDN w:val="0"/>
              <w:bidi w:val="0"/>
              <w:adjustRightInd/>
              <w:snapToGrid w:val="0"/>
              <w:spacing w:line="320" w:lineRule="exact"/>
              <w:ind w:left="0"/>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3.</w:t>
            </w:r>
            <w:r>
              <w:rPr>
                <w:rFonts w:hint="eastAsia" w:ascii="宋体" w:hAnsi="宋体" w:eastAsia="宋体" w:cs="宋体"/>
                <w:color w:val="auto"/>
                <w:sz w:val="24"/>
                <w:szCs w:val="24"/>
                <w:highlight w:val="none"/>
              </w:rPr>
              <w:t>应当配备冷库制冷设备的备用发电机组或者双回路供电系统；</w:t>
            </w:r>
          </w:p>
          <w:p w14:paraId="6D0133C8">
            <w:pPr>
              <w:keepNext w:val="0"/>
              <w:keepLines w:val="0"/>
              <w:pageBreakBefore w:val="0"/>
              <w:tabs>
                <w:tab w:val="left" w:pos="251"/>
              </w:tabs>
              <w:kinsoku/>
              <w:wordWrap/>
              <w:overflowPunct/>
              <w:topLinePunct w:val="0"/>
              <w:autoSpaceDE w:val="0"/>
              <w:autoSpaceDN w:val="0"/>
              <w:bidi w:val="0"/>
              <w:adjustRightInd/>
              <w:snapToGrid w:val="0"/>
              <w:spacing w:line="320" w:lineRule="exact"/>
              <w:ind w:left="0"/>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4.</w:t>
            </w:r>
            <w:r>
              <w:rPr>
                <w:rFonts w:hint="eastAsia" w:ascii="宋体" w:hAnsi="宋体" w:eastAsia="宋体" w:cs="宋体"/>
                <w:color w:val="auto"/>
                <w:sz w:val="24"/>
                <w:szCs w:val="24"/>
                <w:highlight w:val="none"/>
              </w:rPr>
              <w:t>对有特殊低温要求的药品，配备符合其储存要求的设施设备；</w:t>
            </w:r>
          </w:p>
          <w:p w14:paraId="61DD89C7">
            <w:pPr>
              <w:keepNext w:val="0"/>
              <w:keepLines w:val="0"/>
              <w:pageBreakBefore w:val="0"/>
              <w:tabs>
                <w:tab w:val="left" w:pos="251"/>
              </w:tabs>
              <w:kinsoku/>
              <w:wordWrap/>
              <w:overflowPunct/>
              <w:topLinePunct w:val="0"/>
              <w:autoSpaceDE w:val="0"/>
              <w:autoSpaceDN w:val="0"/>
              <w:bidi w:val="0"/>
              <w:adjustRightInd/>
              <w:snapToGrid w:val="0"/>
              <w:spacing w:line="320" w:lineRule="exact"/>
              <w:ind w:left="0"/>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5.</w:t>
            </w:r>
            <w:r>
              <w:rPr>
                <w:rFonts w:hint="eastAsia" w:ascii="宋体" w:hAnsi="宋体" w:eastAsia="宋体" w:cs="宋体"/>
                <w:color w:val="auto"/>
                <w:sz w:val="24"/>
                <w:szCs w:val="24"/>
                <w:highlight w:val="none"/>
              </w:rPr>
              <w:t>冷库是否进行合理划分冷库收货验收、储存、装箱发货、待处理药品存放等区域，并有明显标示。</w:t>
            </w:r>
          </w:p>
        </w:tc>
      </w:tr>
      <w:tr w14:paraId="1C6C8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614" w:type="dxa"/>
          </w:tcPr>
          <w:p w14:paraId="1C6DCF8C">
            <w:pPr>
              <w:pStyle w:val="3"/>
              <w:keepNext w:val="0"/>
              <w:keepLines w:val="0"/>
              <w:pageBreakBefore w:val="0"/>
              <w:kinsoku/>
              <w:wordWrap/>
              <w:overflowPunct/>
              <w:topLinePunct w:val="0"/>
              <w:bidi w:val="0"/>
              <w:adjustRightInd/>
              <w:spacing w:line="320" w:lineRule="exact"/>
              <w:ind w:left="0"/>
              <w:jc w:val="both"/>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525" w:type="dxa"/>
            <w:vMerge w:val="continue"/>
          </w:tcPr>
          <w:p w14:paraId="03229DC3">
            <w:pPr>
              <w:pStyle w:val="3"/>
              <w:keepNext w:val="0"/>
              <w:keepLines w:val="0"/>
              <w:pageBreakBefore w:val="0"/>
              <w:kinsoku/>
              <w:wordWrap/>
              <w:overflowPunct/>
              <w:topLinePunct w:val="0"/>
              <w:bidi w:val="0"/>
              <w:adjustRightInd/>
              <w:spacing w:line="320" w:lineRule="exact"/>
              <w:ind w:left="0"/>
              <w:jc w:val="both"/>
              <w:rPr>
                <w:rFonts w:hint="eastAsia" w:ascii="宋体" w:hAnsi="宋体" w:eastAsia="宋体" w:cs="宋体"/>
                <w:color w:val="auto"/>
                <w:sz w:val="24"/>
                <w:szCs w:val="24"/>
                <w:highlight w:val="none"/>
              </w:rPr>
            </w:pPr>
          </w:p>
        </w:tc>
        <w:tc>
          <w:tcPr>
            <w:tcW w:w="1155" w:type="dxa"/>
            <w:shd w:val="clear" w:color="auto" w:fill="auto"/>
            <w:vAlign w:val="center"/>
          </w:tcPr>
          <w:p w14:paraId="1B843257">
            <w:pPr>
              <w:keepNext w:val="0"/>
              <w:keepLines w:val="0"/>
              <w:pageBreakBefore w:val="0"/>
              <w:kinsoku/>
              <w:wordWrap/>
              <w:overflowPunct/>
              <w:topLinePunct w:val="0"/>
              <w:autoSpaceDE w:val="0"/>
              <w:autoSpaceDN w:val="0"/>
              <w:bidi w:val="0"/>
              <w:adjustRightInd/>
              <w:spacing w:line="320" w:lineRule="exact"/>
              <w:ind w:lef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*04903</w:t>
            </w:r>
          </w:p>
        </w:tc>
        <w:tc>
          <w:tcPr>
            <w:tcW w:w="4968" w:type="dxa"/>
            <w:shd w:val="clear" w:color="auto" w:fill="auto"/>
            <w:vAlign w:val="center"/>
          </w:tcPr>
          <w:p w14:paraId="757F71D3">
            <w:pPr>
              <w:keepNext w:val="0"/>
              <w:keepLines w:val="0"/>
              <w:pageBreakBefore w:val="0"/>
              <w:kinsoku/>
              <w:wordWrap/>
              <w:overflowPunct/>
              <w:topLinePunct w:val="0"/>
              <w:autoSpaceDE w:val="0"/>
              <w:autoSpaceDN w:val="0"/>
              <w:bidi w:val="0"/>
              <w:adjustRightInd/>
              <w:spacing w:line="320" w:lineRule="exact"/>
              <w:ind w:lef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冷库应当配备温度自动监测、显示、记录、调控、报警的设备。</w:t>
            </w:r>
          </w:p>
        </w:tc>
        <w:tc>
          <w:tcPr>
            <w:tcW w:w="7122" w:type="dxa"/>
            <w:shd w:val="clear" w:color="auto" w:fill="auto"/>
            <w:vAlign w:val="center"/>
          </w:tcPr>
          <w:p w14:paraId="06F2493B">
            <w:pPr>
              <w:keepNext w:val="0"/>
              <w:keepLines w:val="0"/>
              <w:pageBreakBefore w:val="0"/>
              <w:tabs>
                <w:tab w:val="left" w:pos="251"/>
              </w:tabs>
              <w:kinsoku/>
              <w:wordWrap/>
              <w:overflowPunct/>
              <w:topLinePunct w:val="0"/>
              <w:autoSpaceDE w:val="0"/>
              <w:autoSpaceDN w:val="0"/>
              <w:bidi w:val="0"/>
              <w:adjustRightInd/>
              <w:snapToGrid w:val="0"/>
              <w:spacing w:line="320" w:lineRule="exact"/>
              <w:ind w:left="0"/>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eastAsia="宋体" w:cs="宋体"/>
                <w:color w:val="auto"/>
                <w:sz w:val="24"/>
                <w:szCs w:val="24"/>
                <w:highlight w:val="none"/>
              </w:rPr>
              <w:t>检查冷库是否具有准确、自动调控温度的功能，并配备有相应温湿度自动监测、记录设备。</w:t>
            </w: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库房或仓间安装的测点终端数量及位置是否符合要求。</w:t>
            </w:r>
          </w:p>
        </w:tc>
      </w:tr>
      <w:tr w14:paraId="717D1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Pr>
          <w:p w14:paraId="60908AEC">
            <w:pPr>
              <w:pStyle w:val="3"/>
              <w:keepNext w:val="0"/>
              <w:keepLines w:val="0"/>
              <w:pageBreakBefore w:val="0"/>
              <w:kinsoku/>
              <w:wordWrap/>
              <w:overflowPunct/>
              <w:topLinePunct w:val="0"/>
              <w:bidi w:val="0"/>
              <w:adjustRightInd/>
              <w:spacing w:line="320" w:lineRule="exact"/>
              <w:ind w:left="0"/>
              <w:jc w:val="both"/>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525" w:type="dxa"/>
            <w:vMerge w:val="continue"/>
          </w:tcPr>
          <w:p w14:paraId="0EAD9F43">
            <w:pPr>
              <w:pStyle w:val="3"/>
              <w:keepNext w:val="0"/>
              <w:keepLines w:val="0"/>
              <w:pageBreakBefore w:val="0"/>
              <w:kinsoku/>
              <w:wordWrap/>
              <w:overflowPunct/>
              <w:topLinePunct w:val="0"/>
              <w:bidi w:val="0"/>
              <w:adjustRightInd/>
              <w:spacing w:line="320" w:lineRule="exact"/>
              <w:ind w:left="0"/>
              <w:jc w:val="both"/>
              <w:rPr>
                <w:rFonts w:hint="eastAsia" w:ascii="宋体" w:hAnsi="宋体" w:eastAsia="宋体" w:cs="宋体"/>
                <w:color w:val="auto"/>
                <w:sz w:val="24"/>
                <w:szCs w:val="24"/>
                <w:highlight w:val="none"/>
              </w:rPr>
            </w:pPr>
          </w:p>
        </w:tc>
        <w:tc>
          <w:tcPr>
            <w:tcW w:w="1155" w:type="dxa"/>
            <w:shd w:val="clear" w:color="auto" w:fill="auto"/>
            <w:vAlign w:val="center"/>
          </w:tcPr>
          <w:p w14:paraId="3DFA1356">
            <w:pPr>
              <w:keepNext w:val="0"/>
              <w:keepLines w:val="0"/>
              <w:pageBreakBefore w:val="0"/>
              <w:kinsoku/>
              <w:wordWrap/>
              <w:overflowPunct/>
              <w:topLinePunct w:val="0"/>
              <w:autoSpaceDE w:val="0"/>
              <w:autoSpaceDN w:val="0"/>
              <w:bidi w:val="0"/>
              <w:adjustRightInd/>
              <w:spacing w:line="320" w:lineRule="exact"/>
              <w:ind w:lef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04904</w:t>
            </w:r>
          </w:p>
        </w:tc>
        <w:tc>
          <w:tcPr>
            <w:tcW w:w="4968" w:type="dxa"/>
            <w:shd w:val="clear" w:color="auto" w:fill="auto"/>
            <w:vAlign w:val="center"/>
          </w:tcPr>
          <w:p w14:paraId="4711F484">
            <w:pPr>
              <w:keepNext w:val="0"/>
              <w:keepLines w:val="0"/>
              <w:pageBreakBefore w:val="0"/>
              <w:kinsoku/>
              <w:wordWrap/>
              <w:overflowPunct/>
              <w:topLinePunct w:val="0"/>
              <w:autoSpaceDE w:val="0"/>
              <w:autoSpaceDN w:val="0"/>
              <w:bidi w:val="0"/>
              <w:adjustRightInd/>
              <w:spacing w:line="320" w:lineRule="exact"/>
              <w:ind w:lef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应当配备冷库制冷设备的备用发电机组或者双回路供电系统。</w:t>
            </w:r>
          </w:p>
        </w:tc>
        <w:tc>
          <w:tcPr>
            <w:tcW w:w="7122" w:type="dxa"/>
            <w:shd w:val="clear" w:color="auto" w:fill="auto"/>
            <w:vAlign w:val="center"/>
          </w:tcPr>
          <w:p w14:paraId="5A778563">
            <w:pPr>
              <w:keepNext w:val="0"/>
              <w:keepLines w:val="0"/>
              <w:pageBreakBefore w:val="0"/>
              <w:numPr>
                <w:ilvl w:val="0"/>
                <w:numId w:val="0"/>
              </w:numPr>
              <w:tabs>
                <w:tab w:val="left" w:pos="251"/>
              </w:tabs>
              <w:kinsoku/>
              <w:wordWrap/>
              <w:overflowPunct/>
              <w:topLinePunct w:val="0"/>
              <w:autoSpaceDE w:val="0"/>
              <w:autoSpaceDN w:val="0"/>
              <w:bidi w:val="0"/>
              <w:adjustRightInd/>
              <w:snapToGrid w:val="0"/>
              <w:spacing w:line="320" w:lineRule="exact"/>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检查备用发电机组功率或双回供电系统是否至少能够保障药品仓储作业区域的应急照明，确保冷库设备、温湿度监控设备、计算机控制室（区）及服务器数据中心可以正常运行。</w:t>
            </w:r>
          </w:p>
          <w:p w14:paraId="25694461">
            <w:pPr>
              <w:keepNext w:val="0"/>
              <w:keepLines w:val="0"/>
              <w:pageBreakBefore w:val="0"/>
              <w:numPr>
                <w:ilvl w:val="0"/>
                <w:numId w:val="0"/>
              </w:numPr>
              <w:tabs>
                <w:tab w:val="left" w:pos="251"/>
              </w:tabs>
              <w:kinsoku/>
              <w:wordWrap/>
              <w:overflowPunct/>
              <w:topLinePunct w:val="0"/>
              <w:autoSpaceDE w:val="0"/>
              <w:autoSpaceDN w:val="0"/>
              <w:bidi w:val="0"/>
              <w:adjustRightInd/>
              <w:snapToGrid w:val="0"/>
              <w:spacing w:line="320" w:lineRule="exact"/>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冷库是否有断电后自动报警功能。</w:t>
            </w:r>
          </w:p>
          <w:p w14:paraId="606CBD2C">
            <w:pPr>
              <w:keepNext w:val="0"/>
              <w:keepLines w:val="0"/>
              <w:pageBreakBefore w:val="0"/>
              <w:tabs>
                <w:tab w:val="left" w:pos="251"/>
              </w:tabs>
              <w:kinsoku/>
              <w:wordWrap/>
              <w:overflowPunct/>
              <w:topLinePunct w:val="0"/>
              <w:autoSpaceDE w:val="0"/>
              <w:autoSpaceDN w:val="0"/>
              <w:bidi w:val="0"/>
              <w:adjustRightInd/>
              <w:snapToGrid w:val="0"/>
              <w:spacing w:line="320" w:lineRule="exact"/>
              <w:ind w:left="0"/>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3.</w:t>
            </w:r>
            <w:r>
              <w:rPr>
                <w:rFonts w:hint="eastAsia" w:ascii="宋体" w:hAnsi="宋体" w:eastAsia="宋体" w:cs="宋体"/>
                <w:color w:val="auto"/>
                <w:sz w:val="24"/>
                <w:szCs w:val="24"/>
                <w:highlight w:val="none"/>
              </w:rPr>
              <w:t>询问相应人员冷库断电后如何处置。</w:t>
            </w:r>
          </w:p>
        </w:tc>
      </w:tr>
      <w:tr w14:paraId="77E2E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614" w:type="dxa"/>
          </w:tcPr>
          <w:p w14:paraId="0F6BE865">
            <w:pPr>
              <w:pStyle w:val="3"/>
              <w:keepNext w:val="0"/>
              <w:keepLines w:val="0"/>
              <w:pageBreakBefore w:val="0"/>
              <w:kinsoku/>
              <w:wordWrap/>
              <w:overflowPunct/>
              <w:topLinePunct w:val="0"/>
              <w:bidi w:val="0"/>
              <w:adjustRightInd/>
              <w:spacing w:line="320" w:lineRule="exact"/>
              <w:ind w:left="0"/>
              <w:jc w:val="both"/>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525" w:type="dxa"/>
            <w:vMerge w:val="continue"/>
          </w:tcPr>
          <w:p w14:paraId="211F5249">
            <w:pPr>
              <w:pStyle w:val="3"/>
              <w:keepNext w:val="0"/>
              <w:keepLines w:val="0"/>
              <w:pageBreakBefore w:val="0"/>
              <w:kinsoku/>
              <w:wordWrap/>
              <w:overflowPunct/>
              <w:topLinePunct w:val="0"/>
              <w:bidi w:val="0"/>
              <w:adjustRightInd/>
              <w:spacing w:line="320" w:lineRule="exact"/>
              <w:ind w:left="0"/>
              <w:jc w:val="both"/>
              <w:rPr>
                <w:rFonts w:hint="eastAsia" w:ascii="宋体" w:hAnsi="宋体" w:eastAsia="宋体" w:cs="宋体"/>
                <w:color w:val="auto"/>
                <w:sz w:val="24"/>
                <w:szCs w:val="24"/>
                <w:highlight w:val="none"/>
              </w:rPr>
            </w:pPr>
          </w:p>
        </w:tc>
        <w:tc>
          <w:tcPr>
            <w:tcW w:w="1155" w:type="dxa"/>
            <w:shd w:val="clear" w:color="auto" w:fill="auto"/>
            <w:vAlign w:val="center"/>
          </w:tcPr>
          <w:p w14:paraId="26EFE2B1">
            <w:pPr>
              <w:keepNext w:val="0"/>
              <w:keepLines w:val="0"/>
              <w:pageBreakBefore w:val="0"/>
              <w:kinsoku/>
              <w:wordWrap/>
              <w:overflowPunct/>
              <w:topLinePunct w:val="0"/>
              <w:autoSpaceDE w:val="0"/>
              <w:autoSpaceDN w:val="0"/>
              <w:bidi w:val="0"/>
              <w:adjustRightInd/>
              <w:spacing w:line="320" w:lineRule="exact"/>
              <w:ind w:lef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04905</w:t>
            </w:r>
          </w:p>
        </w:tc>
        <w:tc>
          <w:tcPr>
            <w:tcW w:w="4968" w:type="dxa"/>
            <w:shd w:val="clear" w:color="auto" w:fill="auto"/>
            <w:vAlign w:val="center"/>
          </w:tcPr>
          <w:p w14:paraId="1587D205">
            <w:pPr>
              <w:keepNext w:val="0"/>
              <w:keepLines w:val="0"/>
              <w:pageBreakBefore w:val="0"/>
              <w:kinsoku/>
              <w:wordWrap/>
              <w:overflowPunct/>
              <w:topLinePunct w:val="0"/>
              <w:autoSpaceDE w:val="0"/>
              <w:autoSpaceDN w:val="0"/>
              <w:bidi w:val="0"/>
              <w:adjustRightInd/>
              <w:spacing w:line="320" w:lineRule="exact"/>
              <w:ind w:lef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对有特殊低温要求的药品，应当配备符合其储存要求的设施设备。</w:t>
            </w:r>
          </w:p>
        </w:tc>
        <w:tc>
          <w:tcPr>
            <w:tcW w:w="7122" w:type="dxa"/>
            <w:shd w:val="clear" w:color="auto" w:fill="auto"/>
            <w:vAlign w:val="center"/>
          </w:tcPr>
          <w:p w14:paraId="126004E4">
            <w:pPr>
              <w:keepNext w:val="0"/>
              <w:keepLines w:val="0"/>
              <w:pageBreakBefore w:val="0"/>
              <w:tabs>
                <w:tab w:val="left" w:pos="251"/>
              </w:tabs>
              <w:kinsoku/>
              <w:wordWrap/>
              <w:overflowPunct/>
              <w:topLinePunct w:val="0"/>
              <w:autoSpaceDE w:val="0"/>
              <w:autoSpaceDN w:val="0"/>
              <w:bidi w:val="0"/>
              <w:adjustRightInd/>
              <w:snapToGrid w:val="0"/>
              <w:spacing w:line="320" w:lineRule="exact"/>
              <w:ind w:lef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检查经营有特殊低温要求的药品是否配备装量、温度适宜的冷库、冷柜、冰箱等设施设备。</w:t>
            </w:r>
          </w:p>
        </w:tc>
      </w:tr>
      <w:tr w14:paraId="7F699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Pr>
          <w:p w14:paraId="571DDA39">
            <w:pPr>
              <w:pStyle w:val="3"/>
              <w:keepNext w:val="0"/>
              <w:keepLines w:val="0"/>
              <w:pageBreakBefore w:val="0"/>
              <w:kinsoku/>
              <w:wordWrap/>
              <w:overflowPunct/>
              <w:topLinePunct w:val="0"/>
              <w:bidi w:val="0"/>
              <w:adjustRightInd/>
              <w:spacing w:line="320" w:lineRule="exact"/>
              <w:ind w:left="0"/>
              <w:jc w:val="both"/>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525" w:type="dxa"/>
            <w:vMerge w:val="continue"/>
          </w:tcPr>
          <w:p w14:paraId="498AB86F">
            <w:pPr>
              <w:pStyle w:val="3"/>
              <w:keepNext w:val="0"/>
              <w:keepLines w:val="0"/>
              <w:pageBreakBefore w:val="0"/>
              <w:kinsoku/>
              <w:wordWrap/>
              <w:overflowPunct/>
              <w:topLinePunct w:val="0"/>
              <w:bidi w:val="0"/>
              <w:adjustRightInd/>
              <w:spacing w:line="320" w:lineRule="exact"/>
              <w:ind w:left="0"/>
              <w:jc w:val="both"/>
              <w:rPr>
                <w:rFonts w:hint="eastAsia" w:ascii="宋体" w:hAnsi="宋体" w:eastAsia="宋体" w:cs="宋体"/>
                <w:color w:val="auto"/>
                <w:sz w:val="24"/>
                <w:szCs w:val="24"/>
                <w:highlight w:val="none"/>
              </w:rPr>
            </w:pPr>
          </w:p>
        </w:tc>
        <w:tc>
          <w:tcPr>
            <w:tcW w:w="1155" w:type="dxa"/>
            <w:shd w:val="clear" w:color="auto" w:fill="auto"/>
            <w:vAlign w:val="center"/>
          </w:tcPr>
          <w:p w14:paraId="3BE4A184">
            <w:pPr>
              <w:keepNext w:val="0"/>
              <w:keepLines w:val="0"/>
              <w:pageBreakBefore w:val="0"/>
              <w:kinsoku/>
              <w:wordWrap/>
              <w:overflowPunct/>
              <w:topLinePunct w:val="0"/>
              <w:autoSpaceDE w:val="0"/>
              <w:autoSpaceDN w:val="0"/>
              <w:bidi w:val="0"/>
              <w:adjustRightInd/>
              <w:spacing w:line="320" w:lineRule="exact"/>
              <w:ind w:lef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*04906</w:t>
            </w:r>
          </w:p>
        </w:tc>
        <w:tc>
          <w:tcPr>
            <w:tcW w:w="4968" w:type="dxa"/>
            <w:shd w:val="clear" w:color="auto" w:fill="auto"/>
            <w:vAlign w:val="center"/>
          </w:tcPr>
          <w:p w14:paraId="190BC9CB">
            <w:pPr>
              <w:keepNext w:val="0"/>
              <w:keepLines w:val="0"/>
              <w:pageBreakBefore w:val="0"/>
              <w:widowControl/>
              <w:kinsoku/>
              <w:wordWrap/>
              <w:overflowPunct/>
              <w:topLinePunct w:val="0"/>
              <w:bidi w:val="0"/>
              <w:adjustRightInd/>
              <w:spacing w:line="320" w:lineRule="exact"/>
              <w:ind w:lef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经营冷藏、冷冻药品的应当配备冷藏车。</w:t>
            </w:r>
          </w:p>
        </w:tc>
        <w:tc>
          <w:tcPr>
            <w:tcW w:w="7122" w:type="dxa"/>
            <w:shd w:val="clear" w:color="auto" w:fill="auto"/>
            <w:vAlign w:val="center"/>
          </w:tcPr>
          <w:p w14:paraId="392F443E">
            <w:pPr>
              <w:keepNext w:val="0"/>
              <w:keepLines w:val="0"/>
              <w:pageBreakBefore w:val="0"/>
              <w:widowControl/>
              <w:kinsoku/>
              <w:wordWrap/>
              <w:overflowPunct/>
              <w:topLinePunct w:val="0"/>
              <w:bidi w:val="0"/>
              <w:adjustRightInd/>
              <w:spacing w:line="320" w:lineRule="exact"/>
              <w:ind w:left="0"/>
              <w:jc w:val="both"/>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检查冷藏车是否满足以下要求：</w:t>
            </w:r>
          </w:p>
          <w:p w14:paraId="6C6B77B9">
            <w:pPr>
              <w:keepNext w:val="0"/>
              <w:keepLines w:val="0"/>
              <w:pageBreakBefore w:val="0"/>
              <w:widowControl/>
              <w:kinsoku/>
              <w:wordWrap/>
              <w:overflowPunct/>
              <w:topLinePunct w:val="0"/>
              <w:bidi w:val="0"/>
              <w:adjustRightInd/>
              <w:spacing w:line="320" w:lineRule="exact"/>
              <w:ind w:left="0"/>
              <w:jc w:val="both"/>
              <w:textAlignment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eastAsia="宋体" w:cs="宋体"/>
                <w:color w:val="auto"/>
                <w:sz w:val="24"/>
                <w:szCs w:val="24"/>
                <w:highlight w:val="none"/>
              </w:rPr>
              <w:t>经营冷藏、冷冻药品的配备与经营规模和品种相适应的冷藏车、车载冷藏箱或者保温箱等设备；</w:t>
            </w:r>
            <w:r>
              <w:rPr>
                <w:rFonts w:hint="eastAsia" w:ascii="宋体" w:hAnsi="宋体" w:eastAsia="宋体" w:cs="宋体"/>
                <w:color w:val="auto"/>
                <w:sz w:val="24"/>
                <w:szCs w:val="24"/>
                <w:highlight w:val="none"/>
              </w:rPr>
              <w:br w:type="textWrapping"/>
            </w: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运输冷藏、冷冻药品的冷藏车及车载冷藏箱、保温箱符合药品运输过程中对温度控制的要求；</w:t>
            </w:r>
            <w:r>
              <w:rPr>
                <w:rFonts w:hint="eastAsia" w:ascii="宋体" w:hAnsi="宋体" w:eastAsia="宋体" w:cs="宋体"/>
                <w:color w:val="auto"/>
                <w:sz w:val="24"/>
                <w:szCs w:val="24"/>
                <w:highlight w:val="none"/>
              </w:rPr>
              <w:br w:type="textWrapping"/>
            </w:r>
            <w:r>
              <w:rPr>
                <w:rFonts w:hint="eastAsia" w:ascii="宋体" w:hAnsi="宋体" w:cs="宋体"/>
                <w:color w:val="auto"/>
                <w:sz w:val="24"/>
                <w:szCs w:val="24"/>
                <w:highlight w:val="none"/>
                <w:lang w:eastAsia="zh-CN"/>
              </w:rPr>
              <w:t>3.</w:t>
            </w:r>
            <w:r>
              <w:rPr>
                <w:rFonts w:hint="eastAsia" w:ascii="宋体" w:hAnsi="宋体" w:eastAsia="宋体" w:cs="宋体"/>
                <w:color w:val="auto"/>
                <w:sz w:val="24"/>
                <w:szCs w:val="24"/>
                <w:highlight w:val="none"/>
              </w:rPr>
              <w:t>冷藏车具有自动调控温度、显示温度、存储和读取温度监测数据的功能；</w:t>
            </w:r>
          </w:p>
          <w:p w14:paraId="3215EC1B">
            <w:pPr>
              <w:keepNext w:val="0"/>
              <w:keepLines w:val="0"/>
              <w:pageBreakBefore w:val="0"/>
              <w:widowControl/>
              <w:kinsoku/>
              <w:wordWrap/>
              <w:overflowPunct/>
              <w:topLinePunct w:val="0"/>
              <w:bidi w:val="0"/>
              <w:adjustRightInd/>
              <w:spacing w:line="320" w:lineRule="exact"/>
              <w:ind w:left="0"/>
              <w:jc w:val="both"/>
              <w:textAlignment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4.</w:t>
            </w:r>
            <w:r>
              <w:rPr>
                <w:rFonts w:hint="eastAsia" w:ascii="宋体" w:hAnsi="宋体" w:eastAsia="宋体" w:cs="宋体"/>
                <w:color w:val="auto"/>
                <w:sz w:val="24"/>
                <w:szCs w:val="24"/>
                <w:highlight w:val="none"/>
              </w:rPr>
              <w:t>冷藏箱及保温箱具有外部显示和采集箱体内温度数据的功能；</w:t>
            </w:r>
          </w:p>
          <w:p w14:paraId="5A70FFD6">
            <w:pPr>
              <w:keepNext w:val="0"/>
              <w:keepLines w:val="0"/>
              <w:pageBreakBefore w:val="0"/>
              <w:widowControl/>
              <w:kinsoku/>
              <w:wordWrap/>
              <w:overflowPunct/>
              <w:topLinePunct w:val="0"/>
              <w:bidi w:val="0"/>
              <w:adjustRightInd/>
              <w:spacing w:line="320" w:lineRule="exact"/>
              <w:ind w:left="0"/>
              <w:jc w:val="both"/>
              <w:textAlignment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5.</w:t>
            </w:r>
            <w:r>
              <w:rPr>
                <w:rFonts w:hint="eastAsia" w:ascii="宋体" w:hAnsi="宋体" w:eastAsia="宋体" w:cs="宋体"/>
                <w:color w:val="auto"/>
                <w:sz w:val="24"/>
                <w:szCs w:val="24"/>
                <w:highlight w:val="none"/>
              </w:rPr>
              <w:t>冷藏车还应当安装有全球定位系统（如GPS）。</w:t>
            </w:r>
          </w:p>
        </w:tc>
      </w:tr>
      <w:tr w14:paraId="4485A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614" w:type="dxa"/>
          </w:tcPr>
          <w:p w14:paraId="3448800F">
            <w:pPr>
              <w:pStyle w:val="3"/>
              <w:keepNext w:val="0"/>
              <w:keepLines w:val="0"/>
              <w:pageBreakBefore w:val="0"/>
              <w:kinsoku/>
              <w:wordWrap/>
              <w:overflowPunct/>
              <w:topLinePunct w:val="0"/>
              <w:bidi w:val="0"/>
              <w:adjustRightInd/>
              <w:spacing w:line="320" w:lineRule="exact"/>
              <w:ind w:left="0"/>
              <w:jc w:val="both"/>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525" w:type="dxa"/>
            <w:vMerge w:val="continue"/>
          </w:tcPr>
          <w:p w14:paraId="3A740A16">
            <w:pPr>
              <w:pStyle w:val="3"/>
              <w:keepNext w:val="0"/>
              <w:keepLines w:val="0"/>
              <w:pageBreakBefore w:val="0"/>
              <w:kinsoku/>
              <w:wordWrap/>
              <w:overflowPunct/>
              <w:topLinePunct w:val="0"/>
              <w:bidi w:val="0"/>
              <w:adjustRightInd/>
              <w:spacing w:line="320" w:lineRule="exact"/>
              <w:ind w:left="0"/>
              <w:jc w:val="both"/>
              <w:rPr>
                <w:rFonts w:hint="eastAsia" w:ascii="宋体" w:hAnsi="宋体" w:eastAsia="宋体" w:cs="宋体"/>
                <w:color w:val="auto"/>
                <w:sz w:val="24"/>
                <w:szCs w:val="24"/>
                <w:highlight w:val="none"/>
              </w:rPr>
            </w:pPr>
          </w:p>
        </w:tc>
        <w:tc>
          <w:tcPr>
            <w:tcW w:w="1155" w:type="dxa"/>
            <w:shd w:val="clear" w:color="auto" w:fill="auto"/>
            <w:vAlign w:val="center"/>
          </w:tcPr>
          <w:p w14:paraId="4B93BE19">
            <w:pPr>
              <w:keepNext w:val="0"/>
              <w:keepLines w:val="0"/>
              <w:pageBreakBefore w:val="0"/>
              <w:kinsoku/>
              <w:wordWrap/>
              <w:overflowPunct/>
              <w:topLinePunct w:val="0"/>
              <w:autoSpaceDE w:val="0"/>
              <w:autoSpaceDN w:val="0"/>
              <w:bidi w:val="0"/>
              <w:adjustRightInd/>
              <w:spacing w:line="320" w:lineRule="exact"/>
              <w:ind w:lef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*04907</w:t>
            </w:r>
          </w:p>
        </w:tc>
        <w:tc>
          <w:tcPr>
            <w:tcW w:w="4968" w:type="dxa"/>
            <w:shd w:val="clear" w:color="auto" w:fill="auto"/>
            <w:vAlign w:val="center"/>
          </w:tcPr>
          <w:p w14:paraId="31C72E82">
            <w:pPr>
              <w:keepNext w:val="0"/>
              <w:keepLines w:val="0"/>
              <w:pageBreakBefore w:val="0"/>
              <w:widowControl/>
              <w:kinsoku/>
              <w:wordWrap/>
              <w:overflowPunct/>
              <w:topLinePunct w:val="0"/>
              <w:bidi w:val="0"/>
              <w:adjustRightInd/>
              <w:spacing w:line="320" w:lineRule="exact"/>
              <w:ind w:lef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经营冷藏、冷冻药品的应当配备车载冷藏箱或者保温箱等设备。</w:t>
            </w:r>
          </w:p>
        </w:tc>
        <w:tc>
          <w:tcPr>
            <w:tcW w:w="7122" w:type="dxa"/>
            <w:shd w:val="clear" w:color="auto" w:fill="auto"/>
            <w:vAlign w:val="center"/>
          </w:tcPr>
          <w:p w14:paraId="52098E3C">
            <w:pPr>
              <w:keepNext w:val="0"/>
              <w:keepLines w:val="0"/>
              <w:pageBreakBefore w:val="0"/>
              <w:tabs>
                <w:tab w:val="left" w:pos="251"/>
              </w:tabs>
              <w:kinsoku/>
              <w:wordWrap/>
              <w:overflowPunct/>
              <w:topLinePunct w:val="0"/>
              <w:autoSpaceDE w:val="0"/>
              <w:autoSpaceDN w:val="0"/>
              <w:bidi w:val="0"/>
              <w:adjustRightInd/>
              <w:snapToGrid w:val="0"/>
              <w:spacing w:line="320" w:lineRule="exact"/>
              <w:ind w:left="0"/>
              <w:jc w:val="both"/>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现场查阅相关的设施设备档案。</w:t>
            </w:r>
          </w:p>
        </w:tc>
      </w:tr>
      <w:tr w14:paraId="3921F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14" w:type="dxa"/>
          </w:tcPr>
          <w:p w14:paraId="4A16783D">
            <w:pPr>
              <w:pStyle w:val="3"/>
              <w:keepNext w:val="0"/>
              <w:keepLines w:val="0"/>
              <w:pageBreakBefore w:val="0"/>
              <w:kinsoku/>
              <w:wordWrap/>
              <w:overflowPunct/>
              <w:topLinePunct w:val="0"/>
              <w:bidi w:val="0"/>
              <w:adjustRightInd/>
              <w:spacing w:line="320" w:lineRule="exact"/>
              <w:ind w:left="0"/>
              <w:jc w:val="both"/>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525" w:type="dxa"/>
            <w:vMerge w:val="continue"/>
          </w:tcPr>
          <w:p w14:paraId="2C818BCE">
            <w:pPr>
              <w:pStyle w:val="3"/>
              <w:keepNext w:val="0"/>
              <w:keepLines w:val="0"/>
              <w:pageBreakBefore w:val="0"/>
              <w:kinsoku/>
              <w:wordWrap/>
              <w:overflowPunct/>
              <w:topLinePunct w:val="0"/>
              <w:bidi w:val="0"/>
              <w:adjustRightInd/>
              <w:spacing w:line="320" w:lineRule="exact"/>
              <w:ind w:left="0"/>
              <w:jc w:val="both"/>
              <w:rPr>
                <w:rFonts w:hint="eastAsia" w:ascii="宋体" w:hAnsi="宋体" w:eastAsia="宋体" w:cs="宋体"/>
                <w:color w:val="auto"/>
                <w:sz w:val="24"/>
                <w:szCs w:val="24"/>
                <w:highlight w:val="none"/>
              </w:rPr>
            </w:pPr>
          </w:p>
        </w:tc>
        <w:tc>
          <w:tcPr>
            <w:tcW w:w="1155" w:type="dxa"/>
            <w:shd w:val="clear" w:color="auto" w:fill="auto"/>
            <w:vAlign w:val="center"/>
          </w:tcPr>
          <w:p w14:paraId="23CD845D">
            <w:pPr>
              <w:keepNext w:val="0"/>
              <w:keepLines w:val="0"/>
              <w:pageBreakBefore w:val="0"/>
              <w:kinsoku/>
              <w:wordWrap/>
              <w:overflowPunct/>
              <w:topLinePunct w:val="0"/>
              <w:autoSpaceDE w:val="0"/>
              <w:autoSpaceDN w:val="0"/>
              <w:bidi w:val="0"/>
              <w:adjustRightInd/>
              <w:spacing w:line="320" w:lineRule="exact"/>
              <w:ind w:lef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*05001</w:t>
            </w:r>
          </w:p>
        </w:tc>
        <w:tc>
          <w:tcPr>
            <w:tcW w:w="4968" w:type="dxa"/>
            <w:shd w:val="clear" w:color="auto" w:fill="auto"/>
            <w:vAlign w:val="center"/>
          </w:tcPr>
          <w:p w14:paraId="50B9BE26">
            <w:pPr>
              <w:keepNext w:val="0"/>
              <w:keepLines w:val="0"/>
              <w:pageBreakBefore w:val="0"/>
              <w:kinsoku/>
              <w:wordWrap/>
              <w:overflowPunct/>
              <w:topLinePunct w:val="0"/>
              <w:autoSpaceDE w:val="0"/>
              <w:autoSpaceDN w:val="0"/>
              <w:bidi w:val="0"/>
              <w:adjustRightInd/>
              <w:spacing w:line="320" w:lineRule="exact"/>
              <w:ind w:lef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运输药品应当使用封闭式货物运输工具。</w:t>
            </w:r>
          </w:p>
        </w:tc>
        <w:tc>
          <w:tcPr>
            <w:tcW w:w="7122" w:type="dxa"/>
            <w:shd w:val="clear" w:color="auto" w:fill="auto"/>
            <w:vAlign w:val="center"/>
          </w:tcPr>
          <w:p w14:paraId="193F5B54">
            <w:pPr>
              <w:keepNext w:val="0"/>
              <w:keepLines w:val="0"/>
              <w:pageBreakBefore w:val="0"/>
              <w:tabs>
                <w:tab w:val="left" w:pos="251"/>
              </w:tabs>
              <w:kinsoku/>
              <w:wordWrap/>
              <w:overflowPunct/>
              <w:topLinePunct w:val="0"/>
              <w:autoSpaceDE w:val="0"/>
              <w:autoSpaceDN w:val="0"/>
              <w:bidi w:val="0"/>
              <w:adjustRightInd/>
              <w:snapToGrid w:val="0"/>
              <w:spacing w:line="320" w:lineRule="exact"/>
              <w:ind w:left="0"/>
              <w:jc w:val="both"/>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现场查阅相关的设施设备档案。</w:t>
            </w:r>
          </w:p>
        </w:tc>
      </w:tr>
      <w:tr w14:paraId="31779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614" w:type="dxa"/>
          </w:tcPr>
          <w:p w14:paraId="472C82C5">
            <w:pPr>
              <w:pStyle w:val="3"/>
              <w:keepNext w:val="0"/>
              <w:keepLines w:val="0"/>
              <w:pageBreakBefore w:val="0"/>
              <w:kinsoku/>
              <w:wordWrap/>
              <w:overflowPunct/>
              <w:topLinePunct w:val="0"/>
              <w:bidi w:val="0"/>
              <w:adjustRightInd/>
              <w:spacing w:line="320" w:lineRule="exact"/>
              <w:ind w:left="0"/>
              <w:jc w:val="both"/>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525" w:type="dxa"/>
            <w:vMerge w:val="continue"/>
          </w:tcPr>
          <w:p w14:paraId="3D0151DD">
            <w:pPr>
              <w:pStyle w:val="3"/>
              <w:keepNext w:val="0"/>
              <w:keepLines w:val="0"/>
              <w:pageBreakBefore w:val="0"/>
              <w:kinsoku/>
              <w:wordWrap/>
              <w:overflowPunct/>
              <w:topLinePunct w:val="0"/>
              <w:bidi w:val="0"/>
              <w:adjustRightInd/>
              <w:spacing w:line="320" w:lineRule="exact"/>
              <w:ind w:left="0"/>
              <w:jc w:val="both"/>
              <w:rPr>
                <w:rFonts w:hint="eastAsia" w:ascii="宋体" w:hAnsi="宋体" w:eastAsia="宋体" w:cs="宋体"/>
                <w:color w:val="auto"/>
                <w:sz w:val="24"/>
                <w:szCs w:val="24"/>
                <w:highlight w:val="none"/>
              </w:rPr>
            </w:pPr>
          </w:p>
        </w:tc>
        <w:tc>
          <w:tcPr>
            <w:tcW w:w="1155" w:type="dxa"/>
            <w:shd w:val="clear" w:color="auto" w:fill="auto"/>
            <w:vAlign w:val="center"/>
          </w:tcPr>
          <w:p w14:paraId="357B7F36">
            <w:pPr>
              <w:keepNext w:val="0"/>
              <w:keepLines w:val="0"/>
              <w:pageBreakBefore w:val="0"/>
              <w:kinsoku/>
              <w:wordWrap/>
              <w:overflowPunct/>
              <w:topLinePunct w:val="0"/>
              <w:autoSpaceDE w:val="0"/>
              <w:autoSpaceDN w:val="0"/>
              <w:bidi w:val="0"/>
              <w:adjustRightInd/>
              <w:spacing w:line="320" w:lineRule="exact"/>
              <w:ind w:lef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*05101</w:t>
            </w:r>
          </w:p>
        </w:tc>
        <w:tc>
          <w:tcPr>
            <w:tcW w:w="4968" w:type="dxa"/>
            <w:shd w:val="clear" w:color="auto" w:fill="auto"/>
            <w:vAlign w:val="center"/>
          </w:tcPr>
          <w:p w14:paraId="74A17C4D">
            <w:pPr>
              <w:keepNext w:val="0"/>
              <w:keepLines w:val="0"/>
              <w:pageBreakBefore w:val="0"/>
              <w:kinsoku/>
              <w:wordWrap/>
              <w:overflowPunct/>
              <w:topLinePunct w:val="0"/>
              <w:autoSpaceDE w:val="0"/>
              <w:autoSpaceDN w:val="0"/>
              <w:bidi w:val="0"/>
              <w:adjustRightInd/>
              <w:spacing w:line="320" w:lineRule="exact"/>
              <w:ind w:left="0"/>
              <w:jc w:val="both"/>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运输冷藏、冷冻药品的冷藏车及车载冷藏箱、保温箱应当符合药品运输过程中对温度控制的要求。</w:t>
            </w:r>
          </w:p>
        </w:tc>
        <w:tc>
          <w:tcPr>
            <w:tcW w:w="7122" w:type="dxa"/>
            <w:shd w:val="clear" w:color="auto" w:fill="auto"/>
            <w:vAlign w:val="center"/>
          </w:tcPr>
          <w:p w14:paraId="212A05DA">
            <w:pPr>
              <w:keepNext w:val="0"/>
              <w:keepLines w:val="0"/>
              <w:pageBreakBefore w:val="0"/>
              <w:numPr>
                <w:ilvl w:val="0"/>
                <w:numId w:val="0"/>
              </w:numPr>
              <w:tabs>
                <w:tab w:val="left" w:pos="251"/>
              </w:tabs>
              <w:kinsoku/>
              <w:wordWrap/>
              <w:overflowPunct/>
              <w:topLinePunct w:val="0"/>
              <w:autoSpaceDE w:val="0"/>
              <w:autoSpaceDN w:val="0"/>
              <w:bidi w:val="0"/>
              <w:adjustRightInd/>
              <w:snapToGrid w:val="0"/>
              <w:spacing w:line="320" w:lineRule="exact"/>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冷藏车、冷链配送设施设备是否满足药品温度控制要求。</w:t>
            </w:r>
          </w:p>
          <w:p w14:paraId="08F9ABBA">
            <w:pPr>
              <w:keepNext w:val="0"/>
              <w:keepLines w:val="0"/>
              <w:pageBreakBefore w:val="0"/>
              <w:tabs>
                <w:tab w:val="left" w:pos="251"/>
              </w:tabs>
              <w:kinsoku/>
              <w:wordWrap/>
              <w:overflowPunct/>
              <w:topLinePunct w:val="0"/>
              <w:autoSpaceDE w:val="0"/>
              <w:autoSpaceDN w:val="0"/>
              <w:bidi w:val="0"/>
              <w:adjustRightInd/>
              <w:snapToGrid w:val="0"/>
              <w:spacing w:line="320" w:lineRule="exact"/>
              <w:ind w:left="0"/>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冷藏车、冷链配送设施设备数量是否与企业经营规模相适应。</w:t>
            </w:r>
          </w:p>
        </w:tc>
      </w:tr>
      <w:tr w14:paraId="44CF4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614" w:type="dxa"/>
          </w:tcPr>
          <w:p w14:paraId="3BA4D6C4">
            <w:pPr>
              <w:pStyle w:val="3"/>
              <w:keepNext w:val="0"/>
              <w:keepLines w:val="0"/>
              <w:pageBreakBefore w:val="0"/>
              <w:kinsoku/>
              <w:wordWrap/>
              <w:overflowPunct/>
              <w:topLinePunct w:val="0"/>
              <w:bidi w:val="0"/>
              <w:adjustRightInd/>
              <w:spacing w:line="320" w:lineRule="exact"/>
              <w:ind w:left="0"/>
              <w:jc w:val="both"/>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525" w:type="dxa"/>
            <w:vMerge w:val="continue"/>
          </w:tcPr>
          <w:p w14:paraId="792DF36B">
            <w:pPr>
              <w:pStyle w:val="3"/>
              <w:keepNext w:val="0"/>
              <w:keepLines w:val="0"/>
              <w:pageBreakBefore w:val="0"/>
              <w:kinsoku/>
              <w:wordWrap/>
              <w:overflowPunct/>
              <w:topLinePunct w:val="0"/>
              <w:bidi w:val="0"/>
              <w:adjustRightInd/>
              <w:spacing w:line="320" w:lineRule="exact"/>
              <w:ind w:left="0"/>
              <w:jc w:val="both"/>
              <w:rPr>
                <w:rFonts w:hint="eastAsia" w:ascii="宋体" w:hAnsi="宋体" w:eastAsia="宋体" w:cs="宋体"/>
                <w:color w:val="auto"/>
                <w:sz w:val="24"/>
                <w:szCs w:val="24"/>
                <w:highlight w:val="none"/>
              </w:rPr>
            </w:pPr>
          </w:p>
        </w:tc>
        <w:tc>
          <w:tcPr>
            <w:tcW w:w="1155" w:type="dxa"/>
            <w:shd w:val="clear" w:color="auto" w:fill="auto"/>
            <w:vAlign w:val="center"/>
          </w:tcPr>
          <w:p w14:paraId="3B3BBA1D">
            <w:pPr>
              <w:keepNext w:val="0"/>
              <w:keepLines w:val="0"/>
              <w:pageBreakBefore w:val="0"/>
              <w:kinsoku/>
              <w:wordWrap/>
              <w:overflowPunct/>
              <w:topLinePunct w:val="0"/>
              <w:autoSpaceDE w:val="0"/>
              <w:autoSpaceDN w:val="0"/>
              <w:bidi w:val="0"/>
              <w:adjustRightInd/>
              <w:spacing w:line="320" w:lineRule="exact"/>
              <w:ind w:lef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*05102</w:t>
            </w:r>
          </w:p>
        </w:tc>
        <w:tc>
          <w:tcPr>
            <w:tcW w:w="4968" w:type="dxa"/>
            <w:shd w:val="clear" w:color="auto" w:fill="auto"/>
            <w:vAlign w:val="center"/>
          </w:tcPr>
          <w:p w14:paraId="5318165F">
            <w:pPr>
              <w:keepNext w:val="0"/>
              <w:keepLines w:val="0"/>
              <w:pageBreakBefore w:val="0"/>
              <w:kinsoku/>
              <w:wordWrap/>
              <w:overflowPunct/>
              <w:topLinePunct w:val="0"/>
              <w:autoSpaceDE w:val="0"/>
              <w:autoSpaceDN w:val="0"/>
              <w:bidi w:val="0"/>
              <w:adjustRightInd/>
              <w:spacing w:line="320" w:lineRule="exact"/>
              <w:ind w:lef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冷藏车具有自动调控温度、显示温度、存储和读取温度监测数据的功能。</w:t>
            </w:r>
          </w:p>
        </w:tc>
        <w:tc>
          <w:tcPr>
            <w:tcW w:w="7122" w:type="dxa"/>
            <w:shd w:val="clear" w:color="auto" w:fill="auto"/>
            <w:vAlign w:val="center"/>
          </w:tcPr>
          <w:p w14:paraId="03975555">
            <w:pPr>
              <w:keepNext w:val="0"/>
              <w:keepLines w:val="0"/>
              <w:pageBreakBefore w:val="0"/>
              <w:numPr>
                <w:ilvl w:val="0"/>
                <w:numId w:val="0"/>
              </w:numPr>
              <w:tabs>
                <w:tab w:val="left" w:pos="251"/>
              </w:tabs>
              <w:kinsoku/>
              <w:wordWrap/>
              <w:overflowPunct/>
              <w:topLinePunct w:val="0"/>
              <w:autoSpaceDE w:val="0"/>
              <w:autoSpaceDN w:val="0"/>
              <w:bidi w:val="0"/>
              <w:adjustRightInd/>
              <w:snapToGrid w:val="0"/>
              <w:spacing w:line="320" w:lineRule="exact"/>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每台独立的冷藏、冷冻药品运输车辆或车厢安装的测点终端数量及位置是否符合要求。</w:t>
            </w:r>
          </w:p>
          <w:p w14:paraId="7897EE21">
            <w:pPr>
              <w:keepNext w:val="0"/>
              <w:keepLines w:val="0"/>
              <w:pageBreakBefore w:val="0"/>
              <w:tabs>
                <w:tab w:val="left" w:pos="251"/>
              </w:tabs>
              <w:kinsoku/>
              <w:wordWrap/>
              <w:overflowPunct/>
              <w:topLinePunct w:val="0"/>
              <w:autoSpaceDE w:val="0"/>
              <w:autoSpaceDN w:val="0"/>
              <w:bidi w:val="0"/>
              <w:adjustRightInd/>
              <w:snapToGrid w:val="0"/>
              <w:spacing w:line="320" w:lineRule="exact"/>
              <w:ind w:left="0"/>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冷藏车是否具有自动调控温度，实时采集、显示、记录、传送运输过程中的温度数据，远程及就地实时报警、通过计算机读取和存储所记录的监测数据的功能。</w:t>
            </w:r>
          </w:p>
        </w:tc>
      </w:tr>
      <w:tr w14:paraId="36AB2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614" w:type="dxa"/>
          </w:tcPr>
          <w:p w14:paraId="09122D31">
            <w:pPr>
              <w:pStyle w:val="3"/>
              <w:keepNext w:val="0"/>
              <w:keepLines w:val="0"/>
              <w:pageBreakBefore w:val="0"/>
              <w:kinsoku/>
              <w:wordWrap/>
              <w:overflowPunct/>
              <w:topLinePunct w:val="0"/>
              <w:bidi w:val="0"/>
              <w:adjustRightInd/>
              <w:spacing w:line="320" w:lineRule="exact"/>
              <w:ind w:left="0"/>
              <w:jc w:val="both"/>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525" w:type="dxa"/>
            <w:vMerge w:val="continue"/>
          </w:tcPr>
          <w:p w14:paraId="13DD9CF2">
            <w:pPr>
              <w:pStyle w:val="3"/>
              <w:keepNext w:val="0"/>
              <w:keepLines w:val="0"/>
              <w:pageBreakBefore w:val="0"/>
              <w:kinsoku/>
              <w:wordWrap/>
              <w:overflowPunct/>
              <w:topLinePunct w:val="0"/>
              <w:bidi w:val="0"/>
              <w:adjustRightInd/>
              <w:spacing w:line="320" w:lineRule="exact"/>
              <w:ind w:left="0"/>
              <w:jc w:val="both"/>
              <w:rPr>
                <w:rFonts w:hint="eastAsia" w:ascii="宋体" w:hAnsi="宋体" w:eastAsia="宋体" w:cs="宋体"/>
                <w:color w:val="auto"/>
                <w:sz w:val="24"/>
                <w:szCs w:val="24"/>
                <w:highlight w:val="none"/>
              </w:rPr>
            </w:pPr>
          </w:p>
        </w:tc>
        <w:tc>
          <w:tcPr>
            <w:tcW w:w="1155" w:type="dxa"/>
            <w:shd w:val="clear" w:color="auto" w:fill="auto"/>
            <w:vAlign w:val="center"/>
          </w:tcPr>
          <w:p w14:paraId="535E59B5">
            <w:pPr>
              <w:keepNext w:val="0"/>
              <w:keepLines w:val="0"/>
              <w:pageBreakBefore w:val="0"/>
              <w:kinsoku/>
              <w:wordWrap/>
              <w:overflowPunct/>
              <w:topLinePunct w:val="0"/>
              <w:autoSpaceDE w:val="0"/>
              <w:autoSpaceDN w:val="0"/>
              <w:bidi w:val="0"/>
              <w:adjustRightInd/>
              <w:spacing w:line="320" w:lineRule="exact"/>
              <w:ind w:lef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*05103</w:t>
            </w:r>
          </w:p>
        </w:tc>
        <w:tc>
          <w:tcPr>
            <w:tcW w:w="4968" w:type="dxa"/>
            <w:shd w:val="clear" w:color="auto" w:fill="auto"/>
            <w:vAlign w:val="center"/>
          </w:tcPr>
          <w:p w14:paraId="6C735281">
            <w:pPr>
              <w:keepNext w:val="0"/>
              <w:keepLines w:val="0"/>
              <w:pageBreakBefore w:val="0"/>
              <w:kinsoku/>
              <w:wordWrap/>
              <w:overflowPunct/>
              <w:topLinePunct w:val="0"/>
              <w:autoSpaceDE w:val="0"/>
              <w:autoSpaceDN w:val="0"/>
              <w:bidi w:val="0"/>
              <w:adjustRightInd/>
              <w:spacing w:line="320" w:lineRule="exact"/>
              <w:ind w:lef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冷藏箱及保温箱具有外部显示和采集箱体内温度数据的功能。</w:t>
            </w:r>
          </w:p>
        </w:tc>
        <w:tc>
          <w:tcPr>
            <w:tcW w:w="7122" w:type="dxa"/>
            <w:shd w:val="clear" w:color="auto" w:fill="auto"/>
            <w:vAlign w:val="center"/>
          </w:tcPr>
          <w:p w14:paraId="63297C9C">
            <w:pPr>
              <w:keepNext w:val="0"/>
              <w:keepLines w:val="0"/>
              <w:pageBreakBefore w:val="0"/>
              <w:numPr>
                <w:ilvl w:val="0"/>
                <w:numId w:val="0"/>
              </w:numPr>
              <w:tabs>
                <w:tab w:val="left" w:pos="251"/>
              </w:tabs>
              <w:kinsoku/>
              <w:wordWrap/>
              <w:overflowPunct/>
              <w:topLinePunct w:val="0"/>
              <w:autoSpaceDE w:val="0"/>
              <w:autoSpaceDN w:val="0"/>
              <w:bidi w:val="0"/>
              <w:adjustRightInd/>
              <w:snapToGrid w:val="0"/>
              <w:spacing w:line="320" w:lineRule="exact"/>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冷藏箱或</w:t>
            </w:r>
            <w:r>
              <w:rPr>
                <w:rFonts w:hint="eastAsia" w:ascii="宋体" w:hAnsi="宋体" w:eastAsia="宋体" w:cs="宋体"/>
                <w:color w:val="auto"/>
                <w:sz w:val="24"/>
                <w:szCs w:val="24"/>
                <w:highlight w:val="none"/>
                <w:lang w:eastAsia="zh-CN"/>
              </w:rPr>
              <w:t>保温箱</w:t>
            </w:r>
            <w:r>
              <w:rPr>
                <w:rFonts w:hint="eastAsia" w:ascii="宋体" w:hAnsi="宋体" w:eastAsia="宋体" w:cs="宋体"/>
                <w:color w:val="auto"/>
                <w:sz w:val="24"/>
                <w:szCs w:val="24"/>
                <w:highlight w:val="none"/>
              </w:rPr>
              <w:t>安装的测点终端数量是否符合要求。</w:t>
            </w:r>
          </w:p>
          <w:p w14:paraId="334561A0">
            <w:pPr>
              <w:keepNext w:val="0"/>
              <w:keepLines w:val="0"/>
              <w:pageBreakBefore w:val="0"/>
              <w:tabs>
                <w:tab w:val="left" w:pos="251"/>
              </w:tabs>
              <w:kinsoku/>
              <w:wordWrap/>
              <w:overflowPunct/>
              <w:topLinePunct w:val="0"/>
              <w:autoSpaceDE w:val="0"/>
              <w:autoSpaceDN w:val="0"/>
              <w:bidi w:val="0"/>
              <w:adjustRightInd/>
              <w:snapToGrid w:val="0"/>
              <w:spacing w:line="320" w:lineRule="exact"/>
              <w:ind w:left="0"/>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冷藏箱或保温箱是否具有实时采集、显示、记录、传送运输过程中的温度数据，远程及就地实时报警，通过计算机读取和存储所记录的监测数据的功能。</w:t>
            </w:r>
          </w:p>
        </w:tc>
      </w:tr>
      <w:tr w14:paraId="384C0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614" w:type="dxa"/>
          </w:tcPr>
          <w:p w14:paraId="2AEDFACF">
            <w:pPr>
              <w:pStyle w:val="3"/>
              <w:keepNext w:val="0"/>
              <w:keepLines w:val="0"/>
              <w:pageBreakBefore w:val="0"/>
              <w:kinsoku/>
              <w:wordWrap/>
              <w:overflowPunct/>
              <w:topLinePunct w:val="0"/>
              <w:bidi w:val="0"/>
              <w:adjustRightInd/>
              <w:spacing w:line="320" w:lineRule="exact"/>
              <w:ind w:left="0"/>
              <w:jc w:val="both"/>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525" w:type="dxa"/>
            <w:vMerge w:val="continue"/>
          </w:tcPr>
          <w:p w14:paraId="7B14F908">
            <w:pPr>
              <w:pStyle w:val="3"/>
              <w:keepNext w:val="0"/>
              <w:keepLines w:val="0"/>
              <w:pageBreakBefore w:val="0"/>
              <w:kinsoku/>
              <w:wordWrap/>
              <w:overflowPunct/>
              <w:topLinePunct w:val="0"/>
              <w:bidi w:val="0"/>
              <w:adjustRightInd/>
              <w:spacing w:line="320" w:lineRule="exact"/>
              <w:ind w:left="0"/>
              <w:jc w:val="both"/>
              <w:rPr>
                <w:rFonts w:hint="eastAsia" w:ascii="宋体" w:hAnsi="宋体" w:eastAsia="宋体" w:cs="宋体"/>
                <w:color w:val="auto"/>
                <w:sz w:val="24"/>
                <w:szCs w:val="24"/>
                <w:highlight w:val="none"/>
              </w:rPr>
            </w:pPr>
          </w:p>
        </w:tc>
        <w:tc>
          <w:tcPr>
            <w:tcW w:w="1155" w:type="dxa"/>
            <w:shd w:val="clear" w:color="auto" w:fill="auto"/>
            <w:vAlign w:val="center"/>
          </w:tcPr>
          <w:p w14:paraId="18E4EE89">
            <w:pPr>
              <w:keepNext w:val="0"/>
              <w:keepLines w:val="0"/>
              <w:pageBreakBefore w:val="0"/>
              <w:kinsoku/>
              <w:wordWrap/>
              <w:overflowPunct/>
              <w:topLinePunct w:val="0"/>
              <w:autoSpaceDE w:val="0"/>
              <w:autoSpaceDN w:val="0"/>
              <w:bidi w:val="0"/>
              <w:adjustRightInd/>
              <w:spacing w:line="320" w:lineRule="exact"/>
              <w:ind w:lef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05201</w:t>
            </w:r>
          </w:p>
        </w:tc>
        <w:tc>
          <w:tcPr>
            <w:tcW w:w="4968" w:type="dxa"/>
            <w:shd w:val="clear" w:color="auto" w:fill="auto"/>
            <w:vAlign w:val="center"/>
          </w:tcPr>
          <w:p w14:paraId="4659053C">
            <w:pPr>
              <w:keepNext w:val="0"/>
              <w:keepLines w:val="0"/>
              <w:pageBreakBefore w:val="0"/>
              <w:kinsoku/>
              <w:wordWrap/>
              <w:overflowPunct/>
              <w:topLinePunct w:val="0"/>
              <w:autoSpaceDE w:val="0"/>
              <w:autoSpaceDN w:val="0"/>
              <w:bidi w:val="0"/>
              <w:adjustRightInd/>
              <w:spacing w:line="320" w:lineRule="exact"/>
              <w:ind w:lef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储存、运输设施设备的定期检查、清洁和维护应当由专人负责，并建立记录和档案。</w:t>
            </w:r>
          </w:p>
        </w:tc>
        <w:tc>
          <w:tcPr>
            <w:tcW w:w="7122" w:type="dxa"/>
            <w:shd w:val="clear" w:color="auto" w:fill="auto"/>
            <w:vAlign w:val="center"/>
          </w:tcPr>
          <w:p w14:paraId="781518A0">
            <w:pPr>
              <w:keepNext w:val="0"/>
              <w:keepLines w:val="0"/>
              <w:pageBreakBefore w:val="0"/>
              <w:numPr>
                <w:ilvl w:val="0"/>
                <w:numId w:val="0"/>
              </w:numPr>
              <w:tabs>
                <w:tab w:val="left" w:pos="251"/>
              </w:tabs>
              <w:kinsoku/>
              <w:wordWrap/>
              <w:overflowPunct/>
              <w:topLinePunct w:val="0"/>
              <w:autoSpaceDE w:val="0"/>
              <w:autoSpaceDN w:val="0"/>
              <w:bidi w:val="0"/>
              <w:adjustRightInd/>
              <w:snapToGrid w:val="0"/>
              <w:spacing w:line="320" w:lineRule="exact"/>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是否制定有设施设备检查、清洁和维护管理制度或规程，并有专人负责管理工作。</w:t>
            </w:r>
          </w:p>
          <w:p w14:paraId="0FC7DF04">
            <w:pPr>
              <w:keepNext w:val="0"/>
              <w:keepLines w:val="0"/>
              <w:pageBreakBefore w:val="0"/>
              <w:numPr>
                <w:ilvl w:val="0"/>
                <w:numId w:val="0"/>
              </w:numPr>
              <w:tabs>
                <w:tab w:val="left" w:pos="251"/>
              </w:tabs>
              <w:kinsoku/>
              <w:wordWrap/>
              <w:overflowPunct/>
              <w:topLinePunct w:val="0"/>
              <w:autoSpaceDE w:val="0"/>
              <w:autoSpaceDN w:val="0"/>
              <w:bidi w:val="0"/>
              <w:adjustRightInd/>
              <w:snapToGrid w:val="0"/>
              <w:spacing w:line="320" w:lineRule="exact"/>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对储存、运输设施设备是否进行定期检查、清洁和维护记录。</w:t>
            </w:r>
          </w:p>
          <w:p w14:paraId="34BB9248">
            <w:pPr>
              <w:keepNext w:val="0"/>
              <w:keepLines w:val="0"/>
              <w:pageBreakBefore w:val="0"/>
              <w:numPr>
                <w:ilvl w:val="0"/>
                <w:numId w:val="0"/>
              </w:numPr>
              <w:tabs>
                <w:tab w:val="left" w:pos="251"/>
              </w:tabs>
              <w:kinsoku/>
              <w:wordWrap/>
              <w:overflowPunct/>
              <w:topLinePunct w:val="0"/>
              <w:autoSpaceDE w:val="0"/>
              <w:autoSpaceDN w:val="0"/>
              <w:bidi w:val="0"/>
              <w:adjustRightInd/>
              <w:snapToGrid w:val="0"/>
              <w:spacing w:line="320" w:lineRule="exact"/>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是否建立储存、运输设施设备档案。</w:t>
            </w:r>
          </w:p>
          <w:p w14:paraId="2EC34269">
            <w:pPr>
              <w:keepNext w:val="0"/>
              <w:keepLines w:val="0"/>
              <w:pageBreakBefore w:val="0"/>
              <w:tabs>
                <w:tab w:val="left" w:pos="251"/>
              </w:tabs>
              <w:kinsoku/>
              <w:wordWrap/>
              <w:overflowPunct/>
              <w:topLinePunct w:val="0"/>
              <w:autoSpaceDE w:val="0"/>
              <w:autoSpaceDN w:val="0"/>
              <w:bidi w:val="0"/>
              <w:adjustRightInd/>
              <w:snapToGrid w:val="0"/>
              <w:spacing w:line="320" w:lineRule="exact"/>
              <w:ind w:left="0"/>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4.</w:t>
            </w:r>
            <w:r>
              <w:rPr>
                <w:rFonts w:hint="eastAsia" w:ascii="宋体" w:hAnsi="宋体" w:eastAsia="宋体" w:cs="宋体"/>
                <w:color w:val="auto"/>
                <w:sz w:val="24"/>
                <w:szCs w:val="24"/>
                <w:highlight w:val="none"/>
              </w:rPr>
              <w:t>温度自动记录仪是否每年进行校准或检定一次并建立记录。</w:t>
            </w:r>
          </w:p>
        </w:tc>
      </w:tr>
      <w:tr w14:paraId="7B11E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Pr>
          <w:p w14:paraId="6D92ACEF">
            <w:pPr>
              <w:pStyle w:val="3"/>
              <w:keepNext w:val="0"/>
              <w:keepLines w:val="0"/>
              <w:pageBreakBefore w:val="0"/>
              <w:kinsoku/>
              <w:wordWrap/>
              <w:overflowPunct/>
              <w:topLinePunct w:val="0"/>
              <w:bidi w:val="0"/>
              <w:adjustRightInd/>
              <w:spacing w:line="320" w:lineRule="exact"/>
              <w:ind w:left="0"/>
              <w:jc w:val="both"/>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p>
        </w:tc>
        <w:tc>
          <w:tcPr>
            <w:tcW w:w="525" w:type="dxa"/>
            <w:vMerge w:val="restart"/>
          </w:tcPr>
          <w:p w14:paraId="759E2F47">
            <w:pPr>
              <w:pStyle w:val="3"/>
              <w:keepNext w:val="0"/>
              <w:keepLines w:val="0"/>
              <w:pageBreakBefore w:val="0"/>
              <w:kinsoku/>
              <w:wordWrap/>
              <w:overflowPunct/>
              <w:topLinePunct w:val="0"/>
              <w:bidi w:val="0"/>
              <w:adjustRightInd/>
              <w:spacing w:line="320" w:lineRule="exact"/>
              <w:ind w:left="0"/>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校准与验证</w:t>
            </w:r>
          </w:p>
        </w:tc>
        <w:tc>
          <w:tcPr>
            <w:tcW w:w="1155" w:type="dxa"/>
            <w:shd w:val="clear" w:color="auto" w:fill="auto"/>
            <w:vAlign w:val="center"/>
          </w:tcPr>
          <w:p w14:paraId="328D3251">
            <w:pPr>
              <w:keepNext w:val="0"/>
              <w:keepLines w:val="0"/>
              <w:pageBreakBefore w:val="0"/>
              <w:kinsoku/>
              <w:wordWrap/>
              <w:overflowPunct/>
              <w:topLinePunct w:val="0"/>
              <w:autoSpaceDE w:val="0"/>
              <w:autoSpaceDN w:val="0"/>
              <w:bidi w:val="0"/>
              <w:adjustRightInd/>
              <w:spacing w:line="320" w:lineRule="exact"/>
              <w:ind w:lef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*05302</w:t>
            </w:r>
          </w:p>
        </w:tc>
        <w:tc>
          <w:tcPr>
            <w:tcW w:w="4968" w:type="dxa"/>
            <w:shd w:val="clear" w:color="auto" w:fill="auto"/>
            <w:vAlign w:val="center"/>
          </w:tcPr>
          <w:p w14:paraId="43B0323C">
            <w:pPr>
              <w:keepNext w:val="0"/>
              <w:keepLines w:val="0"/>
              <w:pageBreakBefore w:val="0"/>
              <w:kinsoku/>
              <w:wordWrap/>
              <w:overflowPunct/>
              <w:topLinePunct w:val="0"/>
              <w:autoSpaceDE w:val="0"/>
              <w:autoSpaceDN w:val="0"/>
              <w:bidi w:val="0"/>
              <w:adjustRightInd/>
              <w:spacing w:line="320" w:lineRule="exact"/>
              <w:ind w:lef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企业应当对冷库进行使用前验证、定期验证及停用时间超过规定时限的验证。</w:t>
            </w:r>
          </w:p>
        </w:tc>
        <w:tc>
          <w:tcPr>
            <w:tcW w:w="7122" w:type="dxa"/>
            <w:shd w:val="clear" w:color="auto" w:fill="auto"/>
            <w:vAlign w:val="center"/>
          </w:tcPr>
          <w:p w14:paraId="3C2F772D">
            <w:pPr>
              <w:keepNext w:val="0"/>
              <w:keepLines w:val="0"/>
              <w:pageBreakBefore w:val="0"/>
              <w:tabs>
                <w:tab w:val="left" w:pos="251"/>
              </w:tabs>
              <w:kinsoku/>
              <w:wordWrap/>
              <w:overflowPunct/>
              <w:topLinePunct w:val="0"/>
              <w:autoSpaceDE w:val="0"/>
              <w:autoSpaceDN w:val="0"/>
              <w:bidi w:val="0"/>
              <w:adjustRightInd/>
              <w:snapToGrid w:val="0"/>
              <w:spacing w:line="320" w:lineRule="exact"/>
              <w:ind w:lef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1.查阅冷库验证方案、验证原始数据、验证报告等验证资料。</w:t>
            </w:r>
          </w:p>
          <w:p w14:paraId="3BF41A80">
            <w:pPr>
              <w:keepNext w:val="0"/>
              <w:keepLines w:val="0"/>
              <w:pageBreakBefore w:val="0"/>
              <w:tabs>
                <w:tab w:val="left" w:pos="251"/>
              </w:tabs>
              <w:kinsoku/>
              <w:wordWrap/>
              <w:overflowPunct/>
              <w:topLinePunct w:val="0"/>
              <w:autoSpaceDE w:val="0"/>
              <w:autoSpaceDN w:val="0"/>
              <w:bidi w:val="0"/>
              <w:adjustRightInd/>
              <w:snapToGrid w:val="0"/>
              <w:spacing w:line="320" w:lineRule="exact"/>
              <w:ind w:lef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2.分析验证的合理性：冷库验证的项目内容是否符合要求；冷库验证测点设置是否符合要求；验证持续时间是否符合要求。</w:t>
            </w:r>
          </w:p>
        </w:tc>
      </w:tr>
      <w:tr w14:paraId="2E460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Pr>
          <w:p w14:paraId="79BFC893">
            <w:pPr>
              <w:pStyle w:val="3"/>
              <w:keepNext w:val="0"/>
              <w:keepLines w:val="0"/>
              <w:pageBreakBefore w:val="0"/>
              <w:kinsoku/>
              <w:wordWrap/>
              <w:overflowPunct/>
              <w:topLinePunct w:val="0"/>
              <w:bidi w:val="0"/>
              <w:adjustRightInd/>
              <w:spacing w:line="320" w:lineRule="exact"/>
              <w:ind w:left="0"/>
              <w:jc w:val="both"/>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p>
        </w:tc>
        <w:tc>
          <w:tcPr>
            <w:tcW w:w="525" w:type="dxa"/>
            <w:vMerge w:val="continue"/>
          </w:tcPr>
          <w:p w14:paraId="53F608F9">
            <w:pPr>
              <w:pStyle w:val="3"/>
              <w:keepNext w:val="0"/>
              <w:keepLines w:val="0"/>
              <w:pageBreakBefore w:val="0"/>
              <w:kinsoku/>
              <w:wordWrap/>
              <w:overflowPunct/>
              <w:topLinePunct w:val="0"/>
              <w:bidi w:val="0"/>
              <w:adjustRightInd/>
              <w:spacing w:line="320" w:lineRule="exact"/>
              <w:ind w:left="0"/>
              <w:jc w:val="both"/>
              <w:rPr>
                <w:rFonts w:hint="eastAsia" w:ascii="宋体" w:hAnsi="宋体" w:eastAsia="宋体" w:cs="宋体"/>
                <w:color w:val="auto"/>
                <w:sz w:val="24"/>
                <w:szCs w:val="24"/>
                <w:highlight w:val="none"/>
              </w:rPr>
            </w:pPr>
          </w:p>
        </w:tc>
        <w:tc>
          <w:tcPr>
            <w:tcW w:w="1155" w:type="dxa"/>
            <w:shd w:val="clear" w:color="auto" w:fill="auto"/>
            <w:vAlign w:val="center"/>
          </w:tcPr>
          <w:p w14:paraId="754D64CA">
            <w:pPr>
              <w:keepNext w:val="0"/>
              <w:keepLines w:val="0"/>
              <w:pageBreakBefore w:val="0"/>
              <w:kinsoku/>
              <w:wordWrap/>
              <w:overflowPunct/>
              <w:topLinePunct w:val="0"/>
              <w:autoSpaceDE w:val="0"/>
              <w:autoSpaceDN w:val="0"/>
              <w:bidi w:val="0"/>
              <w:adjustRightInd/>
              <w:spacing w:line="320" w:lineRule="exact"/>
              <w:ind w:lef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*05303</w:t>
            </w:r>
          </w:p>
        </w:tc>
        <w:tc>
          <w:tcPr>
            <w:tcW w:w="4968" w:type="dxa"/>
            <w:shd w:val="clear" w:color="auto" w:fill="auto"/>
            <w:vAlign w:val="center"/>
          </w:tcPr>
          <w:p w14:paraId="51C9B526">
            <w:pPr>
              <w:keepNext w:val="0"/>
              <w:keepLines w:val="0"/>
              <w:pageBreakBefore w:val="0"/>
              <w:kinsoku/>
              <w:wordWrap/>
              <w:overflowPunct/>
              <w:topLinePunct w:val="0"/>
              <w:autoSpaceDE w:val="0"/>
              <w:autoSpaceDN w:val="0"/>
              <w:bidi w:val="0"/>
              <w:adjustRightInd/>
              <w:spacing w:line="320" w:lineRule="exact"/>
              <w:ind w:lef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企业应当对储运温湿度监测系统进行使用前验证、定期验证及停用时间超过规定时限的验证。</w:t>
            </w:r>
          </w:p>
        </w:tc>
        <w:tc>
          <w:tcPr>
            <w:tcW w:w="7122" w:type="dxa"/>
            <w:shd w:val="clear" w:color="auto" w:fill="auto"/>
            <w:vAlign w:val="center"/>
          </w:tcPr>
          <w:p w14:paraId="304A4B27">
            <w:pPr>
              <w:keepNext w:val="0"/>
              <w:keepLines w:val="0"/>
              <w:pageBreakBefore w:val="0"/>
              <w:tabs>
                <w:tab w:val="left" w:pos="251"/>
              </w:tabs>
              <w:kinsoku/>
              <w:wordWrap/>
              <w:overflowPunct/>
              <w:topLinePunct w:val="0"/>
              <w:autoSpaceDE w:val="0"/>
              <w:autoSpaceDN w:val="0"/>
              <w:bidi w:val="0"/>
              <w:adjustRightInd/>
              <w:snapToGrid w:val="0"/>
              <w:spacing w:line="320" w:lineRule="exact"/>
              <w:ind w:lef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1.查温湿度监测系统验证方案、验证原始数据、验证报告等验证资料。</w:t>
            </w:r>
          </w:p>
          <w:p w14:paraId="11DC13CD">
            <w:pPr>
              <w:keepNext w:val="0"/>
              <w:keepLines w:val="0"/>
              <w:pageBreakBefore w:val="0"/>
              <w:tabs>
                <w:tab w:val="left" w:pos="251"/>
              </w:tabs>
              <w:kinsoku/>
              <w:wordWrap/>
              <w:overflowPunct/>
              <w:topLinePunct w:val="0"/>
              <w:autoSpaceDE w:val="0"/>
              <w:autoSpaceDN w:val="0"/>
              <w:bidi w:val="0"/>
              <w:adjustRightInd/>
              <w:snapToGrid w:val="0"/>
              <w:spacing w:line="320" w:lineRule="exact"/>
              <w:ind w:lef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分析验证的合理性：监测系统验证的项目内容是否符合要求；根据相关设施设备和监测系统的设计参数以及通过验证确认的使用条件，是否确定最大的停用时间限度，超过最大停用时限的，在重新启用前，是否进行重新进行验证。</w:t>
            </w:r>
          </w:p>
        </w:tc>
      </w:tr>
      <w:tr w14:paraId="12175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Pr>
          <w:p w14:paraId="1422C961">
            <w:pPr>
              <w:pStyle w:val="3"/>
              <w:keepNext w:val="0"/>
              <w:keepLines w:val="0"/>
              <w:pageBreakBefore w:val="0"/>
              <w:kinsoku/>
              <w:wordWrap/>
              <w:overflowPunct/>
              <w:topLinePunct w:val="0"/>
              <w:bidi w:val="0"/>
              <w:adjustRightInd/>
              <w:spacing w:line="320" w:lineRule="exact"/>
              <w:ind w:left="0"/>
              <w:jc w:val="both"/>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c>
          <w:tcPr>
            <w:tcW w:w="525" w:type="dxa"/>
            <w:vMerge w:val="continue"/>
          </w:tcPr>
          <w:p w14:paraId="6B6101A2">
            <w:pPr>
              <w:pStyle w:val="3"/>
              <w:keepNext w:val="0"/>
              <w:keepLines w:val="0"/>
              <w:pageBreakBefore w:val="0"/>
              <w:kinsoku/>
              <w:wordWrap/>
              <w:overflowPunct/>
              <w:topLinePunct w:val="0"/>
              <w:bidi w:val="0"/>
              <w:adjustRightInd/>
              <w:spacing w:line="320" w:lineRule="exact"/>
              <w:ind w:left="0"/>
              <w:jc w:val="both"/>
              <w:rPr>
                <w:rFonts w:hint="eastAsia" w:ascii="宋体" w:hAnsi="宋体" w:eastAsia="宋体" w:cs="宋体"/>
                <w:color w:val="auto"/>
                <w:sz w:val="24"/>
                <w:szCs w:val="24"/>
                <w:highlight w:val="none"/>
              </w:rPr>
            </w:pPr>
          </w:p>
        </w:tc>
        <w:tc>
          <w:tcPr>
            <w:tcW w:w="1155" w:type="dxa"/>
            <w:shd w:val="clear" w:color="auto" w:fill="auto"/>
            <w:vAlign w:val="center"/>
          </w:tcPr>
          <w:p w14:paraId="41786D7A">
            <w:pPr>
              <w:keepNext w:val="0"/>
              <w:keepLines w:val="0"/>
              <w:pageBreakBefore w:val="0"/>
              <w:kinsoku/>
              <w:wordWrap/>
              <w:overflowPunct/>
              <w:topLinePunct w:val="0"/>
              <w:autoSpaceDE w:val="0"/>
              <w:autoSpaceDN w:val="0"/>
              <w:bidi w:val="0"/>
              <w:adjustRightInd/>
              <w:spacing w:line="320" w:lineRule="exact"/>
              <w:ind w:lef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*05304</w:t>
            </w:r>
          </w:p>
        </w:tc>
        <w:tc>
          <w:tcPr>
            <w:tcW w:w="4968" w:type="dxa"/>
            <w:shd w:val="clear" w:color="auto" w:fill="auto"/>
            <w:vAlign w:val="center"/>
          </w:tcPr>
          <w:p w14:paraId="02EB217E">
            <w:pPr>
              <w:keepNext w:val="0"/>
              <w:keepLines w:val="0"/>
              <w:pageBreakBefore w:val="0"/>
              <w:kinsoku/>
              <w:wordWrap/>
              <w:overflowPunct/>
              <w:topLinePunct w:val="0"/>
              <w:autoSpaceDE w:val="0"/>
              <w:autoSpaceDN w:val="0"/>
              <w:bidi w:val="0"/>
              <w:adjustRightInd/>
              <w:spacing w:line="320" w:lineRule="exact"/>
              <w:ind w:lef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企业应当对冷藏运输等设施设备进行使用前验证、定期验证及停用时间超过规定时限的验证。</w:t>
            </w:r>
          </w:p>
        </w:tc>
        <w:tc>
          <w:tcPr>
            <w:tcW w:w="7122" w:type="dxa"/>
            <w:shd w:val="clear" w:color="auto" w:fill="auto"/>
            <w:vAlign w:val="center"/>
          </w:tcPr>
          <w:p w14:paraId="32D949C9">
            <w:pPr>
              <w:keepNext w:val="0"/>
              <w:keepLines w:val="0"/>
              <w:pageBreakBefore w:val="0"/>
              <w:tabs>
                <w:tab w:val="left" w:pos="251"/>
              </w:tabs>
              <w:kinsoku/>
              <w:wordWrap/>
              <w:overflowPunct/>
              <w:topLinePunct w:val="0"/>
              <w:autoSpaceDE w:val="0"/>
              <w:autoSpaceDN w:val="0"/>
              <w:bidi w:val="0"/>
              <w:adjustRightInd/>
              <w:snapToGrid w:val="0"/>
              <w:spacing w:line="320" w:lineRule="exact"/>
              <w:ind w:lef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1.查冷藏运输等设施设备验证方案、验证原始数据、验证报告等验证资料。</w:t>
            </w:r>
          </w:p>
          <w:p w14:paraId="04721D6E">
            <w:pPr>
              <w:keepNext w:val="0"/>
              <w:keepLines w:val="0"/>
              <w:pageBreakBefore w:val="0"/>
              <w:tabs>
                <w:tab w:val="left" w:pos="251"/>
              </w:tabs>
              <w:kinsoku/>
              <w:wordWrap/>
              <w:overflowPunct/>
              <w:topLinePunct w:val="0"/>
              <w:autoSpaceDE w:val="0"/>
              <w:autoSpaceDN w:val="0"/>
              <w:bidi w:val="0"/>
              <w:adjustRightInd/>
              <w:snapToGrid w:val="0"/>
              <w:spacing w:line="320" w:lineRule="exact"/>
              <w:ind w:lef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分析验证的合理性：冷藏车的验证项目内容是否符合要求；冷藏箱或保温箱、冷冻箱（如有）验证项目内容是否符合要求；冷库验证测点设置是否符合要求；验证持续时间是否符合要求；根据相关设施设备和监测系统的设计参数以及通过验证确认的使用条件，是否确定最大的停用时间限度，超过最大停用时限的，在重新启用前，是否进行重新进行验证。</w:t>
            </w:r>
          </w:p>
        </w:tc>
      </w:tr>
    </w:tbl>
    <w:p w14:paraId="6F1BE959">
      <w:pPr>
        <w:pStyle w:val="3"/>
        <w:keepNext w:val="0"/>
        <w:keepLines w:val="0"/>
        <w:pageBreakBefore w:val="0"/>
        <w:widowControl w:val="0"/>
        <w:kinsoku/>
        <w:wordWrap/>
        <w:overflowPunct/>
        <w:topLinePunct w:val="0"/>
        <w:autoSpaceDE/>
        <w:autoSpaceDN/>
        <w:bidi w:val="0"/>
        <w:adjustRightInd/>
        <w:snapToGrid/>
        <w:spacing w:line="20" w:lineRule="exact"/>
        <w:ind w:left="0"/>
        <w:textAlignment w:val="auto"/>
        <w:rPr>
          <w:color w:val="auto"/>
          <w:sz w:val="24"/>
          <w:szCs w:val="24"/>
          <w:highlight w:val="none"/>
        </w:rPr>
      </w:pPr>
    </w:p>
    <w:p w14:paraId="5BCE8143">
      <w:pPr>
        <w:rPr>
          <w:rFonts w:hint="eastAsia" w:ascii="黑体" w:eastAsia="黑体"/>
          <w:color w:val="auto"/>
          <w:sz w:val="24"/>
          <w:szCs w:val="24"/>
          <w:highlight w:val="none"/>
        </w:rPr>
      </w:pPr>
      <w:r>
        <w:rPr>
          <w:rFonts w:hint="eastAsia" w:ascii="黑体" w:eastAsia="黑体"/>
          <w:color w:val="auto"/>
          <w:sz w:val="24"/>
          <w:szCs w:val="24"/>
          <w:highlight w:val="none"/>
        </w:rPr>
        <w:br w:type="page"/>
      </w:r>
    </w:p>
    <w:p w14:paraId="0B42BCC4">
      <w:pPr>
        <w:rPr>
          <w:rFonts w:hint="eastAsia" w:ascii="黑体" w:eastAsia="黑体"/>
          <w:color w:val="auto"/>
          <w:sz w:val="32"/>
          <w:szCs w:val="32"/>
          <w:highlight w:val="none"/>
        </w:rPr>
      </w:pPr>
      <w:r>
        <w:rPr>
          <w:rFonts w:hint="eastAsia" w:ascii="黑体" w:eastAsia="黑体"/>
          <w:color w:val="auto"/>
          <w:sz w:val="32"/>
          <w:szCs w:val="32"/>
          <w:highlight w:val="none"/>
        </w:rPr>
        <w:t>中药饮片经营范围</w:t>
      </w:r>
    </w:p>
    <w:p w14:paraId="1B4E643B">
      <w:pPr>
        <w:pStyle w:val="2"/>
        <w:rPr>
          <w:color w:val="auto"/>
          <w:highlight w:val="none"/>
        </w:rPr>
      </w:pPr>
    </w:p>
    <w:tbl>
      <w:tblPr>
        <w:tblStyle w:val="11"/>
        <w:tblW w:w="14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0"/>
        <w:gridCol w:w="522"/>
        <w:gridCol w:w="1200"/>
        <w:gridCol w:w="4965"/>
        <w:gridCol w:w="7074"/>
      </w:tblGrid>
      <w:tr w14:paraId="405F3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610" w:type="dxa"/>
            <w:vAlign w:val="center"/>
          </w:tcPr>
          <w:p w14:paraId="168B6F68">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722" w:type="dxa"/>
            <w:gridSpan w:val="2"/>
            <w:vAlign w:val="center"/>
          </w:tcPr>
          <w:p w14:paraId="348974C5">
            <w:pPr>
              <w:pStyle w:val="2"/>
              <w:jc w:val="center"/>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内容</w:t>
            </w:r>
          </w:p>
          <w:p w14:paraId="5F6D8333">
            <w:pPr>
              <w:pStyle w:val="2"/>
              <w:jc w:val="center"/>
              <w:rPr>
                <w:rFonts w:hint="eastAsia"/>
                <w:color w:val="auto"/>
                <w:highlight w:val="none"/>
              </w:rPr>
            </w:pPr>
            <w:r>
              <w:rPr>
                <w:rFonts w:hint="eastAsia" w:ascii="宋体" w:hAnsi="宋体" w:cs="宋体"/>
                <w:b/>
                <w:bCs/>
                <w:color w:val="auto"/>
                <w:sz w:val="24"/>
                <w:szCs w:val="24"/>
                <w:highlight w:val="none"/>
                <w:lang w:eastAsia="zh-CN"/>
              </w:rPr>
              <w:t>（条款号）</w:t>
            </w:r>
          </w:p>
        </w:tc>
        <w:tc>
          <w:tcPr>
            <w:tcW w:w="4965" w:type="dxa"/>
            <w:vAlign w:val="center"/>
          </w:tcPr>
          <w:p w14:paraId="4CFD89BD">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检查项目</w:t>
            </w:r>
          </w:p>
        </w:tc>
        <w:tc>
          <w:tcPr>
            <w:tcW w:w="7074" w:type="dxa"/>
            <w:vAlign w:val="center"/>
          </w:tcPr>
          <w:p w14:paraId="665F793D">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检查细则</w:t>
            </w:r>
          </w:p>
        </w:tc>
      </w:tr>
      <w:tr w14:paraId="1A452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371" w:type="dxa"/>
            <w:gridSpan w:val="5"/>
            <w:vAlign w:val="center"/>
          </w:tcPr>
          <w:p w14:paraId="4399F4BF">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rPr>
            </w:pPr>
            <w:r>
              <w:rPr>
                <w:rFonts w:hint="eastAsia" w:ascii="楷体" w:hAnsi="楷体" w:eastAsia="楷体" w:cs="楷体"/>
                <w:b w:val="0"/>
                <w:bCs/>
                <w:color w:val="auto"/>
                <w:sz w:val="24"/>
                <w:szCs w:val="24"/>
                <w:highlight w:val="none"/>
              </w:rPr>
              <w:t>第一部分</w:t>
            </w:r>
            <w:r>
              <w:rPr>
                <w:rFonts w:hint="eastAsia" w:ascii="楷体" w:hAnsi="楷体" w:eastAsia="楷体" w:cs="楷体"/>
                <w:b w:val="0"/>
                <w:bCs/>
                <w:color w:val="auto"/>
                <w:sz w:val="24"/>
                <w:szCs w:val="24"/>
                <w:highlight w:val="none"/>
                <w:lang w:val="en-US" w:eastAsia="zh-CN"/>
              </w:rPr>
              <w:t>　</w:t>
            </w:r>
            <w:r>
              <w:rPr>
                <w:rFonts w:hint="eastAsia" w:ascii="楷体" w:hAnsi="楷体" w:eastAsia="楷体" w:cs="楷体"/>
                <w:b w:val="0"/>
                <w:bCs/>
                <w:color w:val="auto"/>
                <w:sz w:val="24"/>
                <w:szCs w:val="24"/>
                <w:highlight w:val="none"/>
              </w:rPr>
              <w:t>药品</w:t>
            </w:r>
            <w:r>
              <w:rPr>
                <w:rFonts w:hint="eastAsia" w:ascii="楷体" w:hAnsi="楷体" w:eastAsia="楷体" w:cs="楷体"/>
                <w:b w:val="0"/>
                <w:bCs/>
                <w:color w:val="auto"/>
                <w:kern w:val="0"/>
                <w:sz w:val="24"/>
                <w:szCs w:val="24"/>
                <w:highlight w:val="none"/>
                <w:lang w:bidi="ar"/>
              </w:rPr>
              <w:t>法律法规合规性</w:t>
            </w:r>
          </w:p>
        </w:tc>
      </w:tr>
      <w:tr w14:paraId="5E4A7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0" w:type="dxa"/>
            <w:vAlign w:val="center"/>
          </w:tcPr>
          <w:p w14:paraId="6A5E7F87">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722" w:type="dxa"/>
            <w:gridSpan w:val="2"/>
            <w:vMerge w:val="restart"/>
            <w:vAlign w:val="center"/>
          </w:tcPr>
          <w:p w14:paraId="578AAEB7">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合规性审核</w:t>
            </w:r>
          </w:p>
        </w:tc>
        <w:tc>
          <w:tcPr>
            <w:tcW w:w="4965" w:type="dxa"/>
            <w:vAlign w:val="center"/>
          </w:tcPr>
          <w:p w14:paraId="6FFD6458">
            <w:pPr>
              <w:keepNext w:val="0"/>
              <w:keepLines w:val="0"/>
              <w:pageBreakBefore w:val="0"/>
              <w:widowControl/>
              <w:kinsoku/>
              <w:wordWrap/>
              <w:overflowPunct/>
              <w:topLinePunct w:val="0"/>
              <w:bidi w:val="0"/>
              <w:adjustRightInd/>
              <w:snapToGrid/>
              <w:spacing w:line="320" w:lineRule="exact"/>
              <w:jc w:val="both"/>
              <w:textAlignment w:val="auto"/>
              <w:rPr>
                <w:rFonts w:hint="eastAsia" w:ascii="宋体" w:hAnsi="宋体" w:eastAsia="宋体" w:cs="宋体"/>
                <w:color w:val="0000FF"/>
                <w:sz w:val="24"/>
                <w:szCs w:val="24"/>
                <w:highlight w:val="none"/>
                <w:shd w:val="clear" w:color="auto" w:fill="FFFFFF"/>
                <w:lang w:eastAsia="zh-CN"/>
              </w:rPr>
            </w:pPr>
            <w:r>
              <w:rPr>
                <w:rFonts w:hint="eastAsia" w:ascii="宋体" w:hAnsi="宋体" w:eastAsia="宋体" w:cs="宋体"/>
                <w:color w:val="0000FF"/>
                <w:sz w:val="24"/>
                <w:szCs w:val="24"/>
                <w:highlight w:val="none"/>
              </w:rPr>
              <w:t>有与其经营范围相适应的质量管理机构和人员</w:t>
            </w:r>
            <w:r>
              <w:rPr>
                <w:rFonts w:hint="eastAsia" w:ascii="宋体" w:hAnsi="宋体" w:eastAsia="宋体" w:cs="宋体"/>
                <w:color w:val="0000FF"/>
                <w:sz w:val="24"/>
                <w:szCs w:val="24"/>
                <w:highlight w:val="none"/>
                <w:lang w:eastAsia="zh-CN"/>
              </w:rPr>
              <w:t>。</w:t>
            </w:r>
          </w:p>
        </w:tc>
        <w:tc>
          <w:tcPr>
            <w:tcW w:w="7074" w:type="dxa"/>
            <w:vAlign w:val="center"/>
          </w:tcPr>
          <w:p w14:paraId="04FA2E06">
            <w:pPr>
              <w:keepNext w:val="0"/>
              <w:keepLines w:val="0"/>
              <w:pageBreakBefore w:val="0"/>
              <w:widowControl/>
              <w:kinsoku/>
              <w:wordWrap/>
              <w:overflowPunct/>
              <w:topLinePunct w:val="0"/>
              <w:bidi w:val="0"/>
              <w:adjustRightInd/>
              <w:snapToGrid/>
              <w:spacing w:line="320" w:lineRule="exact"/>
              <w:jc w:val="both"/>
              <w:textAlignment w:val="auto"/>
              <w:rPr>
                <w:rFonts w:hint="eastAsia" w:ascii="宋体" w:hAnsi="宋体" w:eastAsia="宋体" w:cs="宋体"/>
                <w:color w:val="0000FF"/>
                <w:sz w:val="24"/>
                <w:szCs w:val="24"/>
                <w:highlight w:val="none"/>
                <w:lang w:eastAsia="zh-CN"/>
              </w:rPr>
            </w:pPr>
            <w:r>
              <w:rPr>
                <w:rFonts w:hint="eastAsia" w:ascii="宋体" w:hAnsi="宋体" w:eastAsia="宋体" w:cs="宋体"/>
                <w:color w:val="0000FF"/>
                <w:sz w:val="24"/>
                <w:szCs w:val="24"/>
                <w:highlight w:val="none"/>
              </w:rPr>
              <w:t>查阅是否有与其经营范围相适应的质量管理机构和人员</w:t>
            </w:r>
            <w:r>
              <w:rPr>
                <w:rFonts w:hint="eastAsia" w:ascii="宋体" w:hAnsi="宋体" w:eastAsia="宋体" w:cs="宋体"/>
                <w:color w:val="0000FF"/>
                <w:sz w:val="24"/>
                <w:szCs w:val="24"/>
                <w:highlight w:val="none"/>
                <w:lang w:eastAsia="zh-CN"/>
              </w:rPr>
              <w:t>。</w:t>
            </w:r>
          </w:p>
        </w:tc>
      </w:tr>
      <w:tr w14:paraId="73D33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0" w:type="dxa"/>
            <w:vAlign w:val="center"/>
          </w:tcPr>
          <w:p w14:paraId="58404844">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1722" w:type="dxa"/>
            <w:gridSpan w:val="2"/>
            <w:vMerge w:val="continue"/>
            <w:vAlign w:val="center"/>
          </w:tcPr>
          <w:p w14:paraId="36BACB18">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rPr>
            </w:pPr>
          </w:p>
        </w:tc>
        <w:tc>
          <w:tcPr>
            <w:tcW w:w="4965" w:type="dxa"/>
            <w:vAlign w:val="center"/>
          </w:tcPr>
          <w:p w14:paraId="5CB78525">
            <w:pPr>
              <w:keepNext w:val="0"/>
              <w:keepLines w:val="0"/>
              <w:pageBreakBefore w:val="0"/>
              <w:widowControl/>
              <w:kinsoku/>
              <w:wordWrap/>
              <w:overflowPunct/>
              <w:topLinePunct w:val="0"/>
              <w:bidi w:val="0"/>
              <w:adjustRightInd/>
              <w:snapToGrid/>
              <w:spacing w:line="320" w:lineRule="exact"/>
              <w:jc w:val="both"/>
              <w:textAlignment w:val="auto"/>
              <w:rPr>
                <w:rFonts w:hint="eastAsia" w:ascii="宋体" w:hAnsi="宋体" w:eastAsia="宋体" w:cs="宋体"/>
                <w:color w:val="0000FF"/>
                <w:sz w:val="24"/>
                <w:szCs w:val="24"/>
                <w:highlight w:val="none"/>
                <w:lang w:eastAsia="zh-CN"/>
              </w:rPr>
            </w:pPr>
            <w:r>
              <w:rPr>
                <w:rFonts w:hint="eastAsia" w:ascii="宋体" w:hAnsi="宋体" w:eastAsia="宋体" w:cs="宋体"/>
                <w:color w:val="0000FF"/>
                <w:sz w:val="24"/>
                <w:szCs w:val="24"/>
                <w:highlight w:val="none"/>
              </w:rPr>
              <w:t>有与其经营品种和规模相适应的仓库和设施设备</w:t>
            </w:r>
            <w:r>
              <w:rPr>
                <w:rFonts w:hint="eastAsia" w:ascii="宋体" w:hAnsi="宋体" w:cs="宋体"/>
                <w:color w:val="0000FF"/>
                <w:sz w:val="24"/>
                <w:szCs w:val="24"/>
                <w:highlight w:val="none"/>
                <w:lang w:eastAsia="zh-CN"/>
              </w:rPr>
              <w:t>。</w:t>
            </w:r>
          </w:p>
        </w:tc>
        <w:tc>
          <w:tcPr>
            <w:tcW w:w="7074" w:type="dxa"/>
            <w:vAlign w:val="center"/>
          </w:tcPr>
          <w:p w14:paraId="4A91E739">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0000FF"/>
                <w:sz w:val="24"/>
                <w:szCs w:val="24"/>
                <w:highlight w:val="none"/>
                <w:lang w:eastAsia="zh-CN"/>
              </w:rPr>
            </w:pPr>
            <w:r>
              <w:rPr>
                <w:rFonts w:hint="eastAsia" w:ascii="宋体" w:hAnsi="宋体" w:eastAsia="宋体" w:cs="宋体"/>
                <w:color w:val="0000FF"/>
                <w:sz w:val="24"/>
                <w:szCs w:val="24"/>
                <w:highlight w:val="none"/>
              </w:rPr>
              <w:t>查阅是否有与其经营品种和规模相适应的仓库和设施设备</w:t>
            </w:r>
            <w:r>
              <w:rPr>
                <w:rFonts w:hint="eastAsia" w:ascii="宋体" w:hAnsi="宋体" w:cs="宋体"/>
                <w:color w:val="0000FF"/>
                <w:sz w:val="24"/>
                <w:szCs w:val="24"/>
                <w:highlight w:val="none"/>
                <w:lang w:eastAsia="zh-CN"/>
              </w:rPr>
              <w:t>。</w:t>
            </w:r>
          </w:p>
        </w:tc>
      </w:tr>
      <w:tr w14:paraId="1A823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0" w:type="dxa"/>
            <w:vAlign w:val="center"/>
          </w:tcPr>
          <w:p w14:paraId="3FDE4E1C">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722" w:type="dxa"/>
            <w:gridSpan w:val="2"/>
            <w:vMerge w:val="continue"/>
            <w:vAlign w:val="center"/>
          </w:tcPr>
          <w:p w14:paraId="51E18505">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rPr>
            </w:pPr>
          </w:p>
        </w:tc>
        <w:tc>
          <w:tcPr>
            <w:tcW w:w="4965" w:type="dxa"/>
            <w:vAlign w:val="center"/>
          </w:tcPr>
          <w:p w14:paraId="3E9D8290">
            <w:pPr>
              <w:keepNext w:val="0"/>
              <w:keepLines w:val="0"/>
              <w:pageBreakBefore w:val="0"/>
              <w:widowControl/>
              <w:kinsoku/>
              <w:wordWrap/>
              <w:overflowPunct/>
              <w:topLinePunct w:val="0"/>
              <w:bidi w:val="0"/>
              <w:adjustRightInd/>
              <w:snapToGrid/>
              <w:spacing w:line="320" w:lineRule="exact"/>
              <w:jc w:val="both"/>
              <w:textAlignment w:val="auto"/>
              <w:rPr>
                <w:rFonts w:hint="eastAsia" w:ascii="宋体" w:hAnsi="宋体" w:eastAsia="宋体" w:cs="宋体"/>
                <w:color w:val="0000FF"/>
                <w:sz w:val="24"/>
                <w:szCs w:val="24"/>
                <w:highlight w:val="none"/>
              </w:rPr>
            </w:pPr>
            <w:r>
              <w:rPr>
                <w:rFonts w:hint="eastAsia" w:ascii="宋体" w:hAnsi="宋体" w:eastAsia="宋体" w:cs="宋体"/>
                <w:color w:val="0000FF"/>
                <w:sz w:val="24"/>
                <w:szCs w:val="24"/>
                <w:highlight w:val="none"/>
              </w:rPr>
              <w:t>有保证药品质量的质量管理制度以及覆盖药品经营、质量控制和追溯全过程的信息管理系统，并符合药品经营质量管理规范要求。</w:t>
            </w:r>
          </w:p>
        </w:tc>
        <w:tc>
          <w:tcPr>
            <w:tcW w:w="7074" w:type="dxa"/>
            <w:vAlign w:val="center"/>
          </w:tcPr>
          <w:p w14:paraId="46A704A4">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0000FF"/>
                <w:sz w:val="24"/>
                <w:szCs w:val="24"/>
                <w:highlight w:val="none"/>
              </w:rPr>
            </w:pPr>
            <w:r>
              <w:rPr>
                <w:rFonts w:hint="eastAsia" w:ascii="宋体" w:hAnsi="宋体" w:eastAsia="宋体" w:cs="宋体"/>
                <w:color w:val="0000FF"/>
                <w:sz w:val="24"/>
                <w:szCs w:val="24"/>
                <w:highlight w:val="none"/>
              </w:rPr>
              <w:t>查阅是否有保证药品质量的质量管理制度以及覆盖药品经营、质量控制和追溯全过程的信息管理系统，并符合药品经营质量管理规范要求。</w:t>
            </w:r>
          </w:p>
        </w:tc>
      </w:tr>
      <w:tr w14:paraId="729BC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371" w:type="dxa"/>
            <w:gridSpan w:val="5"/>
            <w:vAlign w:val="center"/>
          </w:tcPr>
          <w:p w14:paraId="613FAFA8">
            <w:pPr>
              <w:keepNext w:val="0"/>
              <w:keepLines w:val="0"/>
              <w:pageBreakBefore w:val="0"/>
              <w:widowControl/>
              <w:kinsoku/>
              <w:wordWrap/>
              <w:overflowPunct/>
              <w:topLinePunct w:val="0"/>
              <w:bidi w:val="0"/>
              <w:adjustRightInd/>
              <w:snapToGrid/>
              <w:spacing w:line="320" w:lineRule="exact"/>
              <w:jc w:val="both"/>
              <w:textAlignment w:val="auto"/>
              <w:rPr>
                <w:rFonts w:hint="eastAsia" w:ascii="宋体" w:hAnsi="宋体" w:eastAsia="宋体" w:cs="宋体"/>
                <w:color w:val="auto"/>
                <w:sz w:val="24"/>
                <w:szCs w:val="24"/>
                <w:highlight w:val="none"/>
              </w:rPr>
            </w:pPr>
            <w:r>
              <w:rPr>
                <w:rFonts w:hint="eastAsia" w:ascii="楷体" w:hAnsi="楷体" w:eastAsia="楷体" w:cs="楷体"/>
                <w:b w:val="0"/>
                <w:bCs/>
                <w:color w:val="auto"/>
                <w:sz w:val="24"/>
                <w:szCs w:val="24"/>
                <w:highlight w:val="none"/>
              </w:rPr>
              <w:t>第二部分</w:t>
            </w:r>
            <w:r>
              <w:rPr>
                <w:rFonts w:hint="eastAsia" w:ascii="楷体" w:hAnsi="楷体" w:eastAsia="楷体" w:cs="楷体"/>
                <w:b w:val="0"/>
                <w:bCs/>
                <w:color w:val="auto"/>
                <w:sz w:val="24"/>
                <w:szCs w:val="24"/>
                <w:highlight w:val="none"/>
                <w:lang w:eastAsia="zh-CN"/>
              </w:rPr>
              <w:t>　</w:t>
            </w:r>
            <w:r>
              <w:rPr>
                <w:rFonts w:hint="eastAsia" w:ascii="楷体" w:hAnsi="楷体" w:eastAsia="楷体" w:cs="楷体"/>
                <w:b w:val="0"/>
                <w:bCs/>
                <w:color w:val="auto"/>
                <w:sz w:val="24"/>
                <w:szCs w:val="24"/>
                <w:highlight w:val="none"/>
              </w:rPr>
              <w:t>药品经营质量管理规范符合性</w:t>
            </w:r>
          </w:p>
        </w:tc>
      </w:tr>
      <w:tr w14:paraId="49109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0" w:type="dxa"/>
            <w:vAlign w:val="center"/>
          </w:tcPr>
          <w:p w14:paraId="5A62A636">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522" w:type="dxa"/>
            <w:vMerge w:val="restart"/>
            <w:vAlign w:val="center"/>
          </w:tcPr>
          <w:p w14:paraId="10E8725F">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人员</w:t>
            </w:r>
          </w:p>
        </w:tc>
        <w:tc>
          <w:tcPr>
            <w:tcW w:w="1200" w:type="dxa"/>
            <w:shd w:val="clear" w:color="auto" w:fill="auto"/>
            <w:vAlign w:val="center"/>
          </w:tcPr>
          <w:p w14:paraId="62127923">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*02205</w:t>
            </w:r>
          </w:p>
        </w:tc>
        <w:tc>
          <w:tcPr>
            <w:tcW w:w="4965" w:type="dxa"/>
            <w:shd w:val="clear" w:color="auto" w:fill="auto"/>
            <w:vAlign w:val="center"/>
          </w:tcPr>
          <w:p w14:paraId="11252AC3">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从事中药材、中药饮片验收工作的，应当具有中药学专业中专以上学历或者具有中药学中级以上专业技术职称。</w:t>
            </w:r>
          </w:p>
        </w:tc>
        <w:tc>
          <w:tcPr>
            <w:tcW w:w="7074" w:type="dxa"/>
            <w:shd w:val="clear" w:color="auto" w:fill="auto"/>
            <w:vAlign w:val="center"/>
          </w:tcPr>
          <w:p w14:paraId="52E63CCB">
            <w:pPr>
              <w:keepNext w:val="0"/>
              <w:keepLines w:val="0"/>
              <w:pageBreakBefore w:val="0"/>
              <w:widowControl/>
              <w:kinsoku/>
              <w:wordWrap/>
              <w:overflowPunct/>
              <w:topLinePunct w:val="0"/>
              <w:bidi w:val="0"/>
              <w:adjustRightInd/>
              <w:snapToGrid/>
              <w:spacing w:line="320" w:lineRule="exact"/>
              <w:jc w:val="both"/>
              <w:textAlignment w:val="auto"/>
              <w:rPr>
                <w:rFonts w:hint="eastAsia" w:ascii="宋体" w:hAnsi="宋体" w:eastAsia="宋体" w:cs="宋体"/>
                <w:color w:val="auto"/>
                <w:sz w:val="24"/>
                <w:szCs w:val="24"/>
                <w:highlight w:val="none"/>
              </w:rPr>
            </w:pPr>
            <w:bookmarkStart w:id="0" w:name="OLE_LINK1"/>
            <w:bookmarkStart w:id="1" w:name="OLE_LINK2"/>
            <w:r>
              <w:rPr>
                <w:rFonts w:hint="eastAsia" w:ascii="宋体" w:hAnsi="宋体" w:eastAsia="宋体" w:cs="宋体"/>
                <w:color w:val="auto"/>
                <w:sz w:val="24"/>
                <w:szCs w:val="24"/>
                <w:highlight w:val="none"/>
              </w:rPr>
              <w:t>1.查验验收人员学历证书或职称证书原件，确认是否为中药学专业中专以上学历或中药学中级以上专业技术职称。</w:t>
            </w:r>
          </w:p>
          <w:p w14:paraId="11321E62">
            <w:pPr>
              <w:keepNext w:val="0"/>
              <w:keepLines w:val="0"/>
              <w:pageBreakBefore w:val="0"/>
              <w:widowControl/>
              <w:kinsoku/>
              <w:wordWrap/>
              <w:overflowPunct/>
              <w:topLinePunct w:val="0"/>
              <w:bidi w:val="0"/>
              <w:adjustRightInd/>
              <w:snapToGrid/>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2.核对人员岗位职责文件，确保其实际岗位与资质要求一致。</w:t>
            </w:r>
            <w:bookmarkEnd w:id="0"/>
            <w:bookmarkEnd w:id="1"/>
          </w:p>
        </w:tc>
      </w:tr>
      <w:tr w14:paraId="30268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0" w:type="dxa"/>
            <w:vAlign w:val="center"/>
          </w:tcPr>
          <w:p w14:paraId="6BF13326">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522" w:type="dxa"/>
            <w:vMerge w:val="continue"/>
            <w:vAlign w:val="center"/>
          </w:tcPr>
          <w:p w14:paraId="4921BEBE">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rPr>
            </w:pPr>
          </w:p>
        </w:tc>
        <w:tc>
          <w:tcPr>
            <w:tcW w:w="1200" w:type="dxa"/>
            <w:shd w:val="clear" w:color="auto" w:fill="auto"/>
            <w:vAlign w:val="center"/>
          </w:tcPr>
          <w:p w14:paraId="44A347F6">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02206</w:t>
            </w:r>
          </w:p>
        </w:tc>
        <w:tc>
          <w:tcPr>
            <w:tcW w:w="4965" w:type="dxa"/>
            <w:shd w:val="clear" w:color="auto" w:fill="auto"/>
            <w:vAlign w:val="center"/>
          </w:tcPr>
          <w:p w14:paraId="60F84AE0">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从事中药材、中药饮片养护工作的，应当具有中药学专业中专以上学历或者具有中药学初级以上专业技术职称。</w:t>
            </w:r>
          </w:p>
        </w:tc>
        <w:tc>
          <w:tcPr>
            <w:tcW w:w="7074" w:type="dxa"/>
            <w:shd w:val="clear" w:color="auto" w:fill="auto"/>
            <w:vAlign w:val="center"/>
          </w:tcPr>
          <w:p w14:paraId="2FBC33FD">
            <w:pPr>
              <w:keepNext w:val="0"/>
              <w:keepLines w:val="0"/>
              <w:pageBreakBefore w:val="0"/>
              <w:widowControl/>
              <w:kinsoku/>
              <w:wordWrap/>
              <w:overflowPunct/>
              <w:topLinePunct w:val="0"/>
              <w:bidi w:val="0"/>
              <w:adjustRightInd/>
              <w:snapToGrid/>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1。查验养护人员学历证书或职称证书原件，确认是否为中药学专业中专以上学历或中药学中级以上专业技术职称。</w:t>
            </w:r>
          </w:p>
          <w:p w14:paraId="6667B065">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2.核对人员岗位职责文件，确保其实际岗位与资质要求一致。</w:t>
            </w:r>
          </w:p>
        </w:tc>
      </w:tr>
      <w:tr w14:paraId="515AF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0" w:type="dxa"/>
            <w:vAlign w:val="center"/>
          </w:tcPr>
          <w:p w14:paraId="586B5A6C">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522" w:type="dxa"/>
            <w:vAlign w:val="center"/>
          </w:tcPr>
          <w:p w14:paraId="07D31E93">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设施设备</w:t>
            </w:r>
          </w:p>
        </w:tc>
        <w:tc>
          <w:tcPr>
            <w:tcW w:w="1200" w:type="dxa"/>
            <w:shd w:val="clear" w:color="auto" w:fill="auto"/>
            <w:vAlign w:val="center"/>
          </w:tcPr>
          <w:p w14:paraId="69622C8A">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*04801</w:t>
            </w:r>
          </w:p>
        </w:tc>
        <w:tc>
          <w:tcPr>
            <w:tcW w:w="4965" w:type="dxa"/>
            <w:shd w:val="clear" w:color="auto" w:fill="auto"/>
            <w:vAlign w:val="center"/>
          </w:tcPr>
          <w:p w14:paraId="12DB5A6A">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经营中药材、中药饮片的，应当有专用的库房和养护工作场所。</w:t>
            </w:r>
          </w:p>
        </w:tc>
        <w:tc>
          <w:tcPr>
            <w:tcW w:w="7074" w:type="dxa"/>
            <w:shd w:val="clear" w:color="auto" w:fill="auto"/>
            <w:vAlign w:val="center"/>
          </w:tcPr>
          <w:p w14:paraId="65437ED6">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eastAsia="宋体" w:cs="宋体"/>
                <w:color w:val="auto"/>
                <w:sz w:val="24"/>
                <w:szCs w:val="24"/>
                <w:highlight w:val="none"/>
              </w:rPr>
              <w:t>核查企业是否配备专用库房，是否配备专用的养护场所及养护设备，养护区域是否进行色标标示、养护区是否明确标牌、养护设备是否有使用记录、清洁维保记录。</w:t>
            </w:r>
          </w:p>
        </w:tc>
      </w:tr>
      <w:tr w14:paraId="753D1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0" w:type="dxa"/>
            <w:vAlign w:val="center"/>
          </w:tcPr>
          <w:p w14:paraId="35ACFD1F">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522" w:type="dxa"/>
            <w:vMerge w:val="restart"/>
            <w:vAlign w:val="center"/>
          </w:tcPr>
          <w:p w14:paraId="62BFFD4C">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采购与验收</w:t>
            </w:r>
          </w:p>
        </w:tc>
        <w:tc>
          <w:tcPr>
            <w:tcW w:w="1200" w:type="dxa"/>
            <w:shd w:val="clear" w:color="auto" w:fill="auto"/>
            <w:vAlign w:val="center"/>
          </w:tcPr>
          <w:p w14:paraId="07941B18">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06801</w:t>
            </w:r>
          </w:p>
        </w:tc>
        <w:tc>
          <w:tcPr>
            <w:tcW w:w="4965" w:type="dxa"/>
            <w:shd w:val="clear" w:color="auto" w:fill="auto"/>
            <w:vAlign w:val="center"/>
          </w:tcPr>
          <w:p w14:paraId="48458B5C">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采购药品应当建立采购记录，包括药品的通用名称、剂型、规格、生产厂商、供货单位、数量、价格、购货日期等内容，采购中药材、中药饮片的还应当标明产地等。</w:t>
            </w:r>
          </w:p>
        </w:tc>
        <w:tc>
          <w:tcPr>
            <w:tcW w:w="7074" w:type="dxa"/>
            <w:shd w:val="clear" w:color="auto" w:fill="auto"/>
            <w:vAlign w:val="center"/>
          </w:tcPr>
          <w:p w14:paraId="0DC70208">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让企业模拟采购，核查采购记录中是否包含该内容。</w:t>
            </w:r>
          </w:p>
        </w:tc>
      </w:tr>
      <w:tr w14:paraId="3C2BA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0" w:type="dxa"/>
            <w:vAlign w:val="center"/>
          </w:tcPr>
          <w:p w14:paraId="53C3FD80">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522" w:type="dxa"/>
            <w:vMerge w:val="continue"/>
            <w:vAlign w:val="center"/>
          </w:tcPr>
          <w:p w14:paraId="3938826E">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rPr>
            </w:pPr>
          </w:p>
        </w:tc>
        <w:tc>
          <w:tcPr>
            <w:tcW w:w="1200" w:type="dxa"/>
            <w:shd w:val="clear" w:color="auto" w:fill="auto"/>
            <w:vAlign w:val="center"/>
          </w:tcPr>
          <w:p w14:paraId="5C9E38C2">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08003</w:t>
            </w:r>
          </w:p>
        </w:tc>
        <w:tc>
          <w:tcPr>
            <w:tcW w:w="4965" w:type="dxa"/>
            <w:shd w:val="clear" w:color="auto" w:fill="auto"/>
            <w:vAlign w:val="center"/>
          </w:tcPr>
          <w:p w14:paraId="2CDAEB8F">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中药饮片验收记录应当包括品名、规格、批号、产地、生产日期、生产厂商、供货单位、到货数量、验收合格数量等内容，实施批准文号管理的中药饮片还应当记录批准文号。</w:t>
            </w:r>
          </w:p>
        </w:tc>
        <w:tc>
          <w:tcPr>
            <w:tcW w:w="7074" w:type="dxa"/>
            <w:shd w:val="clear" w:color="auto" w:fill="auto"/>
            <w:vAlign w:val="center"/>
          </w:tcPr>
          <w:p w14:paraId="77B67CA4">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让企业模拟验收，核查验收记录中是否包含该内容。</w:t>
            </w:r>
          </w:p>
        </w:tc>
      </w:tr>
      <w:tr w14:paraId="11FF9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10" w:type="dxa"/>
            <w:vAlign w:val="center"/>
          </w:tcPr>
          <w:p w14:paraId="7B7F4CA7">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522" w:type="dxa"/>
            <w:vMerge w:val="restart"/>
            <w:vAlign w:val="center"/>
          </w:tcPr>
          <w:p w14:paraId="65579CC5">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储存养护</w:t>
            </w:r>
          </w:p>
        </w:tc>
        <w:tc>
          <w:tcPr>
            <w:tcW w:w="1200" w:type="dxa"/>
            <w:shd w:val="clear" w:color="auto" w:fill="auto"/>
            <w:vAlign w:val="center"/>
          </w:tcPr>
          <w:p w14:paraId="3CBFFECD">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*08310</w:t>
            </w:r>
          </w:p>
        </w:tc>
        <w:tc>
          <w:tcPr>
            <w:tcW w:w="4965" w:type="dxa"/>
            <w:shd w:val="clear" w:color="auto" w:fill="auto"/>
            <w:vAlign w:val="center"/>
          </w:tcPr>
          <w:p w14:paraId="7436085C">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中药材和中药饮片分库存放。</w:t>
            </w:r>
          </w:p>
        </w:tc>
        <w:tc>
          <w:tcPr>
            <w:tcW w:w="7074" w:type="dxa"/>
            <w:shd w:val="clear" w:color="auto" w:fill="auto"/>
            <w:vAlign w:val="center"/>
          </w:tcPr>
          <w:p w14:paraId="50AE848D">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核实企业中药饮片库房是否为单独库房。</w:t>
            </w:r>
          </w:p>
        </w:tc>
      </w:tr>
      <w:tr w14:paraId="1AE19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610" w:type="dxa"/>
            <w:vAlign w:val="center"/>
          </w:tcPr>
          <w:p w14:paraId="43121039">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522" w:type="dxa"/>
            <w:vMerge w:val="continue"/>
            <w:vAlign w:val="center"/>
          </w:tcPr>
          <w:p w14:paraId="445DAE72">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rPr>
            </w:pPr>
          </w:p>
        </w:tc>
        <w:tc>
          <w:tcPr>
            <w:tcW w:w="1200" w:type="dxa"/>
            <w:shd w:val="clear" w:color="auto" w:fill="auto"/>
            <w:vAlign w:val="center"/>
          </w:tcPr>
          <w:p w14:paraId="337D0DB5">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08408</w:t>
            </w:r>
          </w:p>
        </w:tc>
        <w:tc>
          <w:tcPr>
            <w:tcW w:w="4965" w:type="dxa"/>
            <w:shd w:val="clear" w:color="auto" w:fill="auto"/>
            <w:vAlign w:val="center"/>
          </w:tcPr>
          <w:p w14:paraId="09C0EC6F">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养护人员应当对中药材和中药饮片按其特性采取有效方法进行养护并记录，所采取的养护方法不得对药品造成污染。</w:t>
            </w:r>
          </w:p>
        </w:tc>
        <w:tc>
          <w:tcPr>
            <w:tcW w:w="7074" w:type="dxa"/>
            <w:shd w:val="clear" w:color="auto" w:fill="auto"/>
            <w:vAlign w:val="center"/>
          </w:tcPr>
          <w:p w14:paraId="481B0E80">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核实企业中药饮片养护记录是否齐全；询问养护人员具体的养护方法和措施，确认养护方法是否符合相关要求。</w:t>
            </w:r>
          </w:p>
        </w:tc>
      </w:tr>
      <w:tr w14:paraId="45F69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0" w:type="dxa"/>
            <w:vAlign w:val="center"/>
          </w:tcPr>
          <w:p w14:paraId="3FF1C20C">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522" w:type="dxa"/>
            <w:vAlign w:val="center"/>
          </w:tcPr>
          <w:p w14:paraId="1BF27C38">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销售</w:t>
            </w:r>
          </w:p>
        </w:tc>
        <w:tc>
          <w:tcPr>
            <w:tcW w:w="1200" w:type="dxa"/>
            <w:shd w:val="clear" w:color="auto" w:fill="auto"/>
            <w:vAlign w:val="center"/>
          </w:tcPr>
          <w:p w14:paraId="74496B37">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09203</w:t>
            </w:r>
          </w:p>
        </w:tc>
        <w:tc>
          <w:tcPr>
            <w:tcW w:w="4965" w:type="dxa"/>
            <w:shd w:val="clear" w:color="auto" w:fill="auto"/>
            <w:vAlign w:val="center"/>
          </w:tcPr>
          <w:p w14:paraId="10AE6812">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中药饮片销售记录应当包括品名、规格、批号、产地、生产厂商、购货单位、销售数量、单价、金额、销售日期等内容。</w:t>
            </w:r>
          </w:p>
        </w:tc>
        <w:tc>
          <w:tcPr>
            <w:tcW w:w="7074" w:type="dxa"/>
            <w:shd w:val="clear" w:color="auto" w:fill="auto"/>
            <w:vAlign w:val="center"/>
          </w:tcPr>
          <w:p w14:paraId="66F0FCAD">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让企业模拟销售，核查销售记录中是否包含该内容。</w:t>
            </w:r>
          </w:p>
        </w:tc>
      </w:tr>
    </w:tbl>
    <w:p w14:paraId="63C78B14">
      <w:pPr>
        <w:rPr>
          <w:rFonts w:hint="eastAsia" w:ascii="黑体" w:eastAsia="黑体"/>
          <w:color w:val="auto"/>
          <w:sz w:val="32"/>
          <w:szCs w:val="32"/>
          <w:highlight w:val="none"/>
          <w:lang w:eastAsia="zh-CN"/>
        </w:rPr>
      </w:pPr>
    </w:p>
    <w:p w14:paraId="6C26BD80">
      <w:pPr>
        <w:rPr>
          <w:rFonts w:hint="eastAsia" w:ascii="黑体" w:eastAsia="黑体"/>
          <w:color w:val="auto"/>
          <w:sz w:val="32"/>
          <w:szCs w:val="32"/>
          <w:highlight w:val="none"/>
          <w:lang w:eastAsia="zh-CN"/>
        </w:rPr>
      </w:pPr>
      <w:r>
        <w:rPr>
          <w:rFonts w:hint="eastAsia" w:ascii="黑体" w:eastAsia="黑体"/>
          <w:color w:val="auto"/>
          <w:sz w:val="32"/>
          <w:szCs w:val="32"/>
          <w:highlight w:val="none"/>
          <w:lang w:eastAsia="zh-CN"/>
        </w:rPr>
        <w:br w:type="page"/>
      </w:r>
    </w:p>
    <w:p w14:paraId="712A131C">
      <w:pPr>
        <w:rPr>
          <w:rFonts w:hint="eastAsia" w:ascii="黑体" w:eastAsia="黑体"/>
          <w:color w:val="auto"/>
          <w:sz w:val="32"/>
          <w:szCs w:val="32"/>
          <w:highlight w:val="none"/>
          <w:lang w:eastAsia="zh-CN"/>
        </w:rPr>
      </w:pPr>
      <w:r>
        <w:rPr>
          <w:rFonts w:hint="eastAsia" w:ascii="黑体" w:eastAsia="黑体"/>
          <w:color w:val="auto"/>
          <w:sz w:val="32"/>
          <w:szCs w:val="32"/>
          <w:highlight w:val="none"/>
          <w:lang w:eastAsia="zh-CN"/>
        </w:rPr>
        <w:t>毒性中药饮片、罂粟壳中药饮片经营范围</w:t>
      </w:r>
    </w:p>
    <w:tbl>
      <w:tblPr>
        <w:tblStyle w:val="11"/>
        <w:tblW w:w="14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0"/>
        <w:gridCol w:w="1722"/>
        <w:gridCol w:w="4965"/>
        <w:gridCol w:w="7074"/>
      </w:tblGrid>
      <w:tr w14:paraId="3791A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610" w:type="dxa"/>
            <w:vAlign w:val="center"/>
          </w:tcPr>
          <w:p w14:paraId="2EA4ABC8">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722" w:type="dxa"/>
            <w:vAlign w:val="center"/>
          </w:tcPr>
          <w:p w14:paraId="3F31C4E9">
            <w:pPr>
              <w:pStyle w:val="2"/>
              <w:jc w:val="center"/>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内容</w:t>
            </w:r>
          </w:p>
          <w:p w14:paraId="09347483">
            <w:pPr>
              <w:pStyle w:val="2"/>
              <w:jc w:val="center"/>
              <w:rPr>
                <w:rFonts w:hint="eastAsia"/>
                <w:color w:val="auto"/>
                <w:highlight w:val="none"/>
              </w:rPr>
            </w:pPr>
            <w:r>
              <w:rPr>
                <w:rFonts w:hint="eastAsia" w:ascii="宋体" w:hAnsi="宋体" w:cs="宋体"/>
                <w:b/>
                <w:bCs/>
                <w:color w:val="auto"/>
                <w:sz w:val="24"/>
                <w:szCs w:val="24"/>
                <w:highlight w:val="none"/>
                <w:lang w:eastAsia="zh-CN"/>
              </w:rPr>
              <w:t>（条款号）</w:t>
            </w:r>
          </w:p>
        </w:tc>
        <w:tc>
          <w:tcPr>
            <w:tcW w:w="4965" w:type="dxa"/>
            <w:vAlign w:val="center"/>
          </w:tcPr>
          <w:p w14:paraId="2E588908">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检查项目</w:t>
            </w:r>
          </w:p>
        </w:tc>
        <w:tc>
          <w:tcPr>
            <w:tcW w:w="7074" w:type="dxa"/>
            <w:vAlign w:val="center"/>
          </w:tcPr>
          <w:p w14:paraId="72EB3664">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检查细则</w:t>
            </w:r>
          </w:p>
        </w:tc>
      </w:tr>
      <w:tr w14:paraId="6BBDC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371" w:type="dxa"/>
            <w:gridSpan w:val="4"/>
            <w:vAlign w:val="center"/>
          </w:tcPr>
          <w:p w14:paraId="4AAFF8A5">
            <w:pPr>
              <w:keepNext w:val="0"/>
              <w:keepLines w:val="0"/>
              <w:pageBreakBefore w:val="0"/>
              <w:widowControl/>
              <w:kinsoku/>
              <w:wordWrap/>
              <w:overflowPunct/>
              <w:topLinePunct w:val="0"/>
              <w:bidi w:val="0"/>
              <w:adjustRightInd/>
              <w:snapToGrid/>
              <w:spacing w:line="320" w:lineRule="exact"/>
              <w:jc w:val="both"/>
              <w:textAlignment w:val="auto"/>
              <w:rPr>
                <w:rFonts w:hint="eastAsia" w:ascii="宋体" w:hAnsi="宋体" w:eastAsia="宋体" w:cs="宋体"/>
                <w:color w:val="auto"/>
                <w:sz w:val="24"/>
                <w:szCs w:val="24"/>
                <w:highlight w:val="none"/>
              </w:rPr>
            </w:pPr>
            <w:r>
              <w:rPr>
                <w:rFonts w:hint="eastAsia" w:ascii="楷体" w:hAnsi="楷体" w:eastAsia="楷体" w:cs="楷体"/>
                <w:b w:val="0"/>
                <w:bCs/>
                <w:color w:val="auto"/>
                <w:sz w:val="24"/>
                <w:szCs w:val="24"/>
                <w:highlight w:val="none"/>
              </w:rPr>
              <w:t>第</w:t>
            </w:r>
            <w:r>
              <w:rPr>
                <w:rFonts w:hint="eastAsia" w:ascii="楷体" w:hAnsi="楷体" w:eastAsia="楷体" w:cs="楷体"/>
                <w:b w:val="0"/>
                <w:bCs/>
                <w:color w:val="auto"/>
                <w:sz w:val="24"/>
                <w:szCs w:val="24"/>
                <w:highlight w:val="none"/>
                <w:lang w:eastAsia="zh-CN"/>
              </w:rPr>
              <w:t>一</w:t>
            </w:r>
            <w:r>
              <w:rPr>
                <w:rFonts w:hint="eastAsia" w:ascii="楷体" w:hAnsi="楷体" w:eastAsia="楷体" w:cs="楷体"/>
                <w:b w:val="0"/>
                <w:bCs/>
                <w:color w:val="auto"/>
                <w:sz w:val="24"/>
                <w:szCs w:val="24"/>
                <w:highlight w:val="none"/>
              </w:rPr>
              <w:t>部分</w:t>
            </w:r>
            <w:r>
              <w:rPr>
                <w:rFonts w:hint="eastAsia" w:ascii="楷体" w:hAnsi="楷体" w:eastAsia="楷体" w:cs="楷体"/>
                <w:b w:val="0"/>
                <w:bCs/>
                <w:color w:val="auto"/>
                <w:sz w:val="24"/>
                <w:szCs w:val="24"/>
                <w:highlight w:val="none"/>
                <w:lang w:eastAsia="zh-CN"/>
              </w:rPr>
              <w:t>　</w:t>
            </w:r>
            <w:r>
              <w:rPr>
                <w:rFonts w:hint="eastAsia" w:ascii="楷体" w:hAnsi="楷体" w:eastAsia="楷体" w:cs="楷体"/>
                <w:b w:val="0"/>
                <w:bCs/>
                <w:color w:val="auto"/>
                <w:sz w:val="24"/>
                <w:szCs w:val="24"/>
                <w:highlight w:val="none"/>
              </w:rPr>
              <w:t>药品经营质量管理规范符合性</w:t>
            </w:r>
          </w:p>
        </w:tc>
      </w:tr>
      <w:tr w14:paraId="5D187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0" w:type="dxa"/>
            <w:vAlign w:val="center"/>
          </w:tcPr>
          <w:p w14:paraId="58A96C96">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722" w:type="dxa"/>
            <w:vAlign w:val="center"/>
          </w:tcPr>
          <w:p w14:paraId="25CFE475">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基本要求</w:t>
            </w:r>
          </w:p>
        </w:tc>
        <w:tc>
          <w:tcPr>
            <w:tcW w:w="4965" w:type="dxa"/>
            <w:shd w:val="clear" w:color="auto" w:fill="auto"/>
            <w:vAlign w:val="center"/>
          </w:tcPr>
          <w:p w14:paraId="5E2F3420">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具备中药饮片经营范围</w:t>
            </w:r>
          </w:p>
        </w:tc>
        <w:tc>
          <w:tcPr>
            <w:tcW w:w="7074" w:type="dxa"/>
            <w:shd w:val="clear" w:color="auto" w:fill="auto"/>
            <w:vAlign w:val="center"/>
          </w:tcPr>
          <w:p w14:paraId="3CD16189">
            <w:pPr>
              <w:keepNext w:val="0"/>
              <w:keepLines w:val="0"/>
              <w:pageBreakBefore w:val="0"/>
              <w:widowControl/>
              <w:kinsoku/>
              <w:wordWrap/>
              <w:overflowPunct/>
              <w:topLinePunct w:val="0"/>
              <w:bidi w:val="0"/>
              <w:adjustRightInd/>
              <w:snapToGrid/>
              <w:spacing w:line="32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见中药饮片经营范围检查项目及细则</w:t>
            </w:r>
          </w:p>
        </w:tc>
      </w:tr>
      <w:tr w14:paraId="559B4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0" w:type="dxa"/>
            <w:vAlign w:val="center"/>
          </w:tcPr>
          <w:p w14:paraId="02949477">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1722" w:type="dxa"/>
            <w:vAlign w:val="center"/>
          </w:tcPr>
          <w:p w14:paraId="21454776">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人员</w:t>
            </w:r>
          </w:p>
        </w:tc>
        <w:tc>
          <w:tcPr>
            <w:tcW w:w="4965" w:type="dxa"/>
            <w:shd w:val="clear" w:color="auto" w:fill="auto"/>
            <w:vAlign w:val="center"/>
          </w:tcPr>
          <w:p w14:paraId="70767A80">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有专人对毒性中药饮片、罂粟壳中药饮片进行管理</w:t>
            </w:r>
          </w:p>
        </w:tc>
        <w:tc>
          <w:tcPr>
            <w:tcW w:w="7074" w:type="dxa"/>
            <w:shd w:val="clear" w:color="auto" w:fill="auto"/>
            <w:vAlign w:val="center"/>
          </w:tcPr>
          <w:p w14:paraId="2798CBBD">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检查企业是否对相应品种的管理人员进行明确。</w:t>
            </w:r>
          </w:p>
        </w:tc>
      </w:tr>
      <w:tr w14:paraId="1156D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0" w:type="dxa"/>
            <w:vAlign w:val="center"/>
          </w:tcPr>
          <w:p w14:paraId="6252B971">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722" w:type="dxa"/>
            <w:vMerge w:val="restart"/>
            <w:vAlign w:val="center"/>
          </w:tcPr>
          <w:p w14:paraId="2A4DE440">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制度</w:t>
            </w:r>
          </w:p>
        </w:tc>
        <w:tc>
          <w:tcPr>
            <w:tcW w:w="4965" w:type="dxa"/>
            <w:shd w:val="clear" w:color="auto" w:fill="auto"/>
            <w:vAlign w:val="center"/>
          </w:tcPr>
          <w:p w14:paraId="5F1352B5">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制定毒性中药饮片、罂粟壳中药饮片管理制度和操作规程</w:t>
            </w:r>
          </w:p>
        </w:tc>
        <w:tc>
          <w:tcPr>
            <w:tcW w:w="7074" w:type="dxa"/>
            <w:shd w:val="clear" w:color="auto" w:fill="auto"/>
            <w:vAlign w:val="center"/>
          </w:tcPr>
          <w:p w14:paraId="4A4D9AE2">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检查企业管理制度和操作规程是否有相关内容。</w:t>
            </w:r>
          </w:p>
        </w:tc>
      </w:tr>
      <w:tr w14:paraId="26267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0" w:type="dxa"/>
            <w:vAlign w:val="center"/>
          </w:tcPr>
          <w:p w14:paraId="3762BC03">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1722" w:type="dxa"/>
            <w:vMerge w:val="continue"/>
            <w:vAlign w:val="center"/>
          </w:tcPr>
          <w:p w14:paraId="5520BF7F">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rPr>
            </w:pPr>
          </w:p>
        </w:tc>
        <w:tc>
          <w:tcPr>
            <w:tcW w:w="4965" w:type="dxa"/>
            <w:shd w:val="clear" w:color="auto" w:fill="auto"/>
            <w:vAlign w:val="center"/>
          </w:tcPr>
          <w:p w14:paraId="34BE0B3D">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建立毒性药品、罂粟壳中药饮片购进销售专用账册。</w:t>
            </w:r>
          </w:p>
        </w:tc>
        <w:tc>
          <w:tcPr>
            <w:tcW w:w="7074" w:type="dxa"/>
            <w:shd w:val="clear" w:color="auto" w:fill="auto"/>
            <w:vAlign w:val="center"/>
          </w:tcPr>
          <w:p w14:paraId="65BDA927">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检查企业表单是否制定相关内容。</w:t>
            </w:r>
          </w:p>
        </w:tc>
      </w:tr>
      <w:tr w14:paraId="22592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0" w:type="dxa"/>
            <w:vAlign w:val="center"/>
          </w:tcPr>
          <w:p w14:paraId="61B2259A">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722" w:type="dxa"/>
            <w:vAlign w:val="center"/>
          </w:tcPr>
          <w:p w14:paraId="66AAE9D3">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设施设备</w:t>
            </w:r>
          </w:p>
        </w:tc>
        <w:tc>
          <w:tcPr>
            <w:tcW w:w="4965" w:type="dxa"/>
            <w:shd w:val="clear" w:color="auto" w:fill="auto"/>
            <w:vAlign w:val="center"/>
          </w:tcPr>
          <w:p w14:paraId="743902B4">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药品库房中设立独立的毒性药品、罂粟壳中药饮片专库或专柜。</w:t>
            </w:r>
          </w:p>
        </w:tc>
        <w:tc>
          <w:tcPr>
            <w:tcW w:w="7074" w:type="dxa"/>
            <w:shd w:val="clear" w:color="auto" w:fill="auto"/>
            <w:vAlign w:val="center"/>
          </w:tcPr>
          <w:p w14:paraId="039E2CBF">
            <w:pPr>
              <w:keepNext w:val="0"/>
              <w:keepLines w:val="0"/>
              <w:pageBreakBefore w:val="0"/>
              <w:numPr>
                <w:ilvl w:val="0"/>
                <w:numId w:val="0"/>
              </w:numPr>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查看企业仓库设立的专库（柜）是否牢固、是否能有效防丢失。</w:t>
            </w:r>
          </w:p>
          <w:p w14:paraId="17EEF540">
            <w:pPr>
              <w:keepNext w:val="0"/>
              <w:keepLines w:val="0"/>
              <w:pageBreakBefore w:val="0"/>
              <w:numPr>
                <w:ilvl w:val="0"/>
                <w:numId w:val="0"/>
              </w:numPr>
              <w:kinsoku/>
              <w:wordWrap/>
              <w:overflowPunct/>
              <w:topLinePunct w:val="0"/>
              <w:autoSpaceDE w:val="0"/>
              <w:autoSpaceDN w:val="0"/>
              <w:bidi w:val="0"/>
              <w:adjustRightInd/>
              <w:snapToGrid/>
              <w:spacing w:line="320" w:lineRule="exac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2.</w:t>
            </w:r>
            <w:r>
              <w:rPr>
                <w:rFonts w:hint="eastAsia" w:ascii="宋体" w:hAnsi="宋体" w:cs="宋体"/>
                <w:color w:val="auto"/>
                <w:sz w:val="24"/>
              </w:rPr>
              <w:t>查看专库（柜）是否加锁并由专人管理。</w:t>
            </w:r>
          </w:p>
        </w:tc>
      </w:tr>
    </w:tbl>
    <w:p w14:paraId="5FBF898B">
      <w:pPr>
        <w:pStyle w:val="2"/>
        <w:rPr>
          <w:rFonts w:hint="eastAsia"/>
          <w:color w:val="auto"/>
          <w:lang w:eastAsia="zh-CN"/>
        </w:rPr>
      </w:pPr>
    </w:p>
    <w:p w14:paraId="6172E33A">
      <w:pPr>
        <w:rPr>
          <w:rFonts w:hint="eastAsia" w:ascii="黑体" w:eastAsia="黑体"/>
          <w:color w:val="auto"/>
          <w:sz w:val="32"/>
          <w:szCs w:val="32"/>
          <w:highlight w:val="none"/>
        </w:rPr>
      </w:pPr>
      <w:r>
        <w:rPr>
          <w:rFonts w:hint="eastAsia" w:ascii="黑体" w:eastAsia="黑体"/>
          <w:color w:val="auto"/>
          <w:sz w:val="32"/>
          <w:szCs w:val="32"/>
          <w:highlight w:val="none"/>
        </w:rPr>
        <w:br w:type="page"/>
      </w:r>
    </w:p>
    <w:p w14:paraId="4EA49F9B">
      <w:pPr>
        <w:rPr>
          <w:rFonts w:hint="eastAsia" w:ascii="黑体" w:eastAsia="黑体"/>
          <w:color w:val="auto"/>
          <w:sz w:val="32"/>
          <w:szCs w:val="32"/>
          <w:highlight w:val="none"/>
        </w:rPr>
      </w:pPr>
      <w:r>
        <w:rPr>
          <w:rFonts w:hint="eastAsia" w:ascii="黑体" w:eastAsia="黑体"/>
          <w:color w:val="auto"/>
          <w:sz w:val="32"/>
          <w:szCs w:val="32"/>
          <w:highlight w:val="none"/>
        </w:rPr>
        <w:t>第二类精神药品经营范围</w:t>
      </w:r>
    </w:p>
    <w:p w14:paraId="34CED25C">
      <w:pPr>
        <w:pStyle w:val="2"/>
        <w:rPr>
          <w:color w:val="auto"/>
          <w:sz w:val="24"/>
          <w:szCs w:val="24"/>
          <w:highlight w:val="none"/>
        </w:rPr>
      </w:pPr>
    </w:p>
    <w:tbl>
      <w:tblPr>
        <w:tblStyle w:val="11"/>
        <w:tblW w:w="14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698"/>
        <w:gridCol w:w="4890"/>
        <w:gridCol w:w="7162"/>
      </w:tblGrid>
      <w:tr w14:paraId="34C8E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610" w:type="dxa"/>
            <w:vAlign w:val="center"/>
          </w:tcPr>
          <w:p w14:paraId="2A00CE88">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b/>
                <w:bCs/>
                <w:color w:val="auto"/>
                <w:sz w:val="24"/>
                <w:szCs w:val="24"/>
                <w:highlight w:val="none"/>
              </w:rPr>
            </w:pPr>
            <w:r>
              <w:rPr>
                <w:rFonts w:hint="eastAsia" w:ascii="黑体" w:hAnsi="黑体" w:eastAsia="黑体" w:cs="黑体"/>
                <w:b w:val="0"/>
                <w:bCs w:val="0"/>
                <w:color w:val="auto"/>
                <w:sz w:val="24"/>
                <w:szCs w:val="24"/>
                <w:highlight w:val="none"/>
              </w:rPr>
              <w:t>序号</w:t>
            </w:r>
          </w:p>
        </w:tc>
        <w:tc>
          <w:tcPr>
            <w:tcW w:w="1698" w:type="dxa"/>
            <w:vAlign w:val="center"/>
          </w:tcPr>
          <w:p w14:paraId="0456DE36">
            <w:pPr>
              <w:keepNext w:val="0"/>
              <w:keepLines w:val="0"/>
              <w:pageBreakBefore w:val="0"/>
              <w:kinsoku/>
              <w:wordWrap/>
              <w:overflowPunct/>
              <w:topLinePunct w:val="0"/>
              <w:autoSpaceDE w:val="0"/>
              <w:autoSpaceDN w:val="0"/>
              <w:bidi w:val="0"/>
              <w:adjustRightInd/>
              <w:spacing w:line="320" w:lineRule="exact"/>
              <w:jc w:val="center"/>
              <w:textAlignment w:val="auto"/>
              <w:rPr>
                <w:rFonts w:hint="eastAsia" w:ascii="宋体" w:hAnsi="宋体" w:eastAsia="宋体" w:cs="宋体"/>
                <w:b/>
                <w:bCs/>
                <w:color w:val="auto"/>
                <w:sz w:val="24"/>
                <w:szCs w:val="24"/>
                <w:highlight w:val="none"/>
              </w:rPr>
            </w:pPr>
            <w:r>
              <w:rPr>
                <w:rFonts w:hint="eastAsia" w:ascii="黑体" w:hAnsi="黑体" w:eastAsia="黑体" w:cs="黑体"/>
                <w:b w:val="0"/>
                <w:bCs w:val="0"/>
                <w:color w:val="auto"/>
                <w:sz w:val="24"/>
                <w:szCs w:val="24"/>
                <w:highlight w:val="none"/>
                <w:lang w:eastAsia="zh-CN"/>
              </w:rPr>
              <w:t>内容</w:t>
            </w:r>
          </w:p>
        </w:tc>
        <w:tc>
          <w:tcPr>
            <w:tcW w:w="4890" w:type="dxa"/>
            <w:vAlign w:val="center"/>
          </w:tcPr>
          <w:p w14:paraId="2EEC0EA4">
            <w:pPr>
              <w:keepNext w:val="0"/>
              <w:keepLines w:val="0"/>
              <w:pageBreakBefore w:val="0"/>
              <w:kinsoku/>
              <w:wordWrap/>
              <w:overflowPunct/>
              <w:topLinePunct w:val="0"/>
              <w:autoSpaceDE w:val="0"/>
              <w:autoSpaceDN w:val="0"/>
              <w:bidi w:val="0"/>
              <w:adjustRightInd/>
              <w:spacing w:line="320" w:lineRule="exact"/>
              <w:jc w:val="center"/>
              <w:textAlignment w:val="auto"/>
              <w:rPr>
                <w:rFonts w:hint="eastAsia" w:ascii="宋体" w:hAnsi="宋体" w:eastAsia="宋体" w:cs="宋体"/>
                <w:b/>
                <w:bCs/>
                <w:color w:val="auto"/>
                <w:sz w:val="24"/>
                <w:szCs w:val="24"/>
                <w:highlight w:val="none"/>
              </w:rPr>
            </w:pPr>
            <w:r>
              <w:rPr>
                <w:rFonts w:hint="eastAsia" w:ascii="黑体" w:hAnsi="黑体" w:eastAsia="黑体" w:cs="黑体"/>
                <w:b w:val="0"/>
                <w:bCs w:val="0"/>
                <w:color w:val="auto"/>
                <w:sz w:val="24"/>
                <w:szCs w:val="24"/>
                <w:highlight w:val="none"/>
              </w:rPr>
              <w:t>检查项目</w:t>
            </w:r>
          </w:p>
        </w:tc>
        <w:tc>
          <w:tcPr>
            <w:tcW w:w="7162" w:type="dxa"/>
            <w:vAlign w:val="center"/>
          </w:tcPr>
          <w:p w14:paraId="3A78FB93">
            <w:pPr>
              <w:keepNext w:val="0"/>
              <w:keepLines w:val="0"/>
              <w:pageBreakBefore w:val="0"/>
              <w:kinsoku/>
              <w:wordWrap/>
              <w:overflowPunct/>
              <w:topLinePunct w:val="0"/>
              <w:autoSpaceDE w:val="0"/>
              <w:autoSpaceDN w:val="0"/>
              <w:bidi w:val="0"/>
              <w:adjustRightInd/>
              <w:spacing w:line="320" w:lineRule="exact"/>
              <w:jc w:val="center"/>
              <w:textAlignment w:val="auto"/>
              <w:rPr>
                <w:rFonts w:hint="eastAsia" w:ascii="宋体" w:hAnsi="宋体" w:eastAsia="宋体" w:cs="宋体"/>
                <w:b/>
                <w:bCs/>
                <w:color w:val="auto"/>
                <w:sz w:val="24"/>
                <w:szCs w:val="24"/>
                <w:highlight w:val="none"/>
              </w:rPr>
            </w:pPr>
            <w:r>
              <w:rPr>
                <w:rFonts w:hint="eastAsia" w:ascii="黑体" w:hAnsi="黑体" w:eastAsia="黑体" w:cs="黑体"/>
                <w:b w:val="0"/>
                <w:bCs w:val="0"/>
                <w:color w:val="auto"/>
                <w:sz w:val="24"/>
                <w:szCs w:val="24"/>
                <w:highlight w:val="none"/>
              </w:rPr>
              <w:t>检查细则</w:t>
            </w:r>
          </w:p>
        </w:tc>
      </w:tr>
      <w:tr w14:paraId="6C4B5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360" w:type="dxa"/>
            <w:gridSpan w:val="4"/>
            <w:vAlign w:val="center"/>
          </w:tcPr>
          <w:p w14:paraId="752EE170">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楷体" w:hAnsi="楷体" w:eastAsia="楷体" w:cs="楷体"/>
                <w:b w:val="0"/>
                <w:bCs/>
                <w:color w:val="auto"/>
                <w:sz w:val="24"/>
                <w:szCs w:val="24"/>
                <w:highlight w:val="none"/>
              </w:rPr>
              <w:t>第一部分</w:t>
            </w:r>
            <w:r>
              <w:rPr>
                <w:rFonts w:hint="eastAsia" w:ascii="楷体" w:hAnsi="楷体" w:eastAsia="楷体" w:cs="楷体"/>
                <w:b w:val="0"/>
                <w:bCs/>
                <w:color w:val="auto"/>
                <w:sz w:val="24"/>
                <w:szCs w:val="24"/>
                <w:highlight w:val="none"/>
                <w:lang w:val="en-US" w:eastAsia="zh-CN"/>
              </w:rPr>
              <w:t>　</w:t>
            </w:r>
            <w:r>
              <w:rPr>
                <w:rFonts w:hint="eastAsia" w:ascii="楷体" w:hAnsi="楷体" w:eastAsia="楷体" w:cs="楷体"/>
                <w:b w:val="0"/>
                <w:bCs/>
                <w:color w:val="auto"/>
                <w:sz w:val="24"/>
                <w:szCs w:val="24"/>
                <w:highlight w:val="none"/>
              </w:rPr>
              <w:t>药品</w:t>
            </w:r>
            <w:r>
              <w:rPr>
                <w:rFonts w:hint="eastAsia" w:ascii="楷体" w:hAnsi="楷体" w:eastAsia="楷体" w:cs="楷体"/>
                <w:b w:val="0"/>
                <w:bCs/>
                <w:color w:val="auto"/>
                <w:kern w:val="0"/>
                <w:sz w:val="24"/>
                <w:szCs w:val="24"/>
                <w:highlight w:val="none"/>
                <w:lang w:bidi="ar"/>
              </w:rPr>
              <w:t>法律法规合规性</w:t>
            </w:r>
          </w:p>
        </w:tc>
      </w:tr>
      <w:tr w14:paraId="13D17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10" w:type="dxa"/>
            <w:vAlign w:val="center"/>
          </w:tcPr>
          <w:p w14:paraId="41C9A161">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698" w:type="dxa"/>
            <w:vMerge w:val="restart"/>
            <w:vAlign w:val="center"/>
          </w:tcPr>
          <w:p w14:paraId="1B790010">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合规性审核</w:t>
            </w:r>
          </w:p>
        </w:tc>
        <w:tc>
          <w:tcPr>
            <w:tcW w:w="4890" w:type="dxa"/>
            <w:vAlign w:val="center"/>
          </w:tcPr>
          <w:p w14:paraId="062FBDF9">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0000FF"/>
                <w:sz w:val="24"/>
                <w:szCs w:val="24"/>
                <w:highlight w:val="none"/>
              </w:rPr>
            </w:pPr>
            <w:r>
              <w:rPr>
                <w:rFonts w:hint="eastAsia" w:ascii="宋体" w:hAnsi="宋体" w:eastAsia="宋体" w:cs="宋体"/>
                <w:color w:val="0000FF"/>
                <w:sz w:val="24"/>
                <w:szCs w:val="24"/>
                <w:highlight w:val="none"/>
              </w:rPr>
              <w:t>应当有特殊药品管理法律法规规定的第二类精神药品储存条件以及安全管理监控系统。</w:t>
            </w:r>
          </w:p>
        </w:tc>
        <w:tc>
          <w:tcPr>
            <w:tcW w:w="7162" w:type="dxa"/>
            <w:vAlign w:val="center"/>
          </w:tcPr>
          <w:p w14:paraId="719FE2EE">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0000FF"/>
                <w:sz w:val="24"/>
                <w:szCs w:val="24"/>
                <w:highlight w:val="none"/>
              </w:rPr>
            </w:pPr>
            <w:r>
              <w:rPr>
                <w:rFonts w:hint="eastAsia" w:ascii="宋体" w:hAnsi="宋体" w:eastAsia="宋体" w:cs="宋体"/>
                <w:color w:val="0000FF"/>
                <w:sz w:val="24"/>
                <w:szCs w:val="24"/>
                <w:highlight w:val="none"/>
              </w:rPr>
              <w:t>查阅是否有特殊药品管理法律法规规定的第二类精神药品储存条件以及安全管理监控系统。</w:t>
            </w:r>
          </w:p>
        </w:tc>
      </w:tr>
      <w:tr w14:paraId="56006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10" w:type="dxa"/>
            <w:vAlign w:val="center"/>
          </w:tcPr>
          <w:p w14:paraId="6CF98285">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1698" w:type="dxa"/>
            <w:vMerge w:val="continue"/>
            <w:vAlign w:val="center"/>
          </w:tcPr>
          <w:p w14:paraId="7367EC53">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p>
        </w:tc>
        <w:tc>
          <w:tcPr>
            <w:tcW w:w="4890" w:type="dxa"/>
            <w:vAlign w:val="center"/>
          </w:tcPr>
          <w:p w14:paraId="4AC71B22">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0000FF"/>
                <w:sz w:val="24"/>
                <w:szCs w:val="24"/>
                <w:highlight w:val="none"/>
              </w:rPr>
            </w:pPr>
            <w:r>
              <w:rPr>
                <w:rFonts w:hint="eastAsia" w:ascii="宋体" w:hAnsi="宋体" w:eastAsia="宋体" w:cs="宋体"/>
                <w:color w:val="0000FF"/>
                <w:sz w:val="24"/>
                <w:szCs w:val="24"/>
                <w:highlight w:val="none"/>
              </w:rPr>
              <w:t>应当具有第二类精神药品安全经营管理制度以及按照药品经查场地主文件要求报告经营信息和趋势分析数据。</w:t>
            </w:r>
          </w:p>
        </w:tc>
        <w:tc>
          <w:tcPr>
            <w:tcW w:w="7162" w:type="dxa"/>
            <w:vAlign w:val="center"/>
          </w:tcPr>
          <w:p w14:paraId="07572937">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0000FF"/>
                <w:sz w:val="24"/>
                <w:szCs w:val="24"/>
                <w:highlight w:val="none"/>
              </w:rPr>
            </w:pPr>
            <w:r>
              <w:rPr>
                <w:rFonts w:hint="eastAsia" w:ascii="宋体" w:hAnsi="宋体" w:eastAsia="宋体" w:cs="宋体"/>
                <w:color w:val="0000FF"/>
                <w:sz w:val="24"/>
                <w:szCs w:val="24"/>
                <w:highlight w:val="none"/>
              </w:rPr>
              <w:t>查阅是否有第二类精神药品安全经营管理制度以及按照药品经查场地主文件要求报告经营信息和趋势分析数据。</w:t>
            </w:r>
          </w:p>
        </w:tc>
      </w:tr>
      <w:tr w14:paraId="0C2E2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610" w:type="dxa"/>
            <w:vAlign w:val="center"/>
          </w:tcPr>
          <w:p w14:paraId="2F273B93">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698" w:type="dxa"/>
            <w:vMerge w:val="continue"/>
            <w:vAlign w:val="center"/>
          </w:tcPr>
          <w:p w14:paraId="199732F5">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p>
        </w:tc>
        <w:tc>
          <w:tcPr>
            <w:tcW w:w="4890" w:type="dxa"/>
            <w:vAlign w:val="center"/>
          </w:tcPr>
          <w:p w14:paraId="422AD5D1">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0000FF"/>
                <w:sz w:val="24"/>
                <w:szCs w:val="24"/>
                <w:highlight w:val="none"/>
              </w:rPr>
            </w:pPr>
            <w:r>
              <w:rPr>
                <w:rFonts w:hint="eastAsia" w:ascii="宋体" w:hAnsi="宋体" w:eastAsia="宋体" w:cs="宋体"/>
                <w:color w:val="0000FF"/>
                <w:sz w:val="24"/>
                <w:szCs w:val="24"/>
                <w:highlight w:val="none"/>
              </w:rPr>
              <w:t>应当配备相对稳定的精神药品管理人员和相关业务人员。</w:t>
            </w:r>
          </w:p>
        </w:tc>
        <w:tc>
          <w:tcPr>
            <w:tcW w:w="7162" w:type="dxa"/>
            <w:vAlign w:val="center"/>
          </w:tcPr>
          <w:p w14:paraId="102480DB">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0000FF"/>
                <w:sz w:val="24"/>
                <w:szCs w:val="24"/>
                <w:highlight w:val="none"/>
              </w:rPr>
            </w:pPr>
            <w:r>
              <w:rPr>
                <w:rFonts w:hint="eastAsia" w:ascii="宋体" w:hAnsi="宋体" w:eastAsia="宋体" w:cs="宋体"/>
                <w:color w:val="0000FF"/>
                <w:sz w:val="24"/>
                <w:szCs w:val="24"/>
                <w:highlight w:val="none"/>
              </w:rPr>
              <w:t>查阅是否配备相对稳定的精神药品管理人员和相关业务人员。</w:t>
            </w:r>
          </w:p>
        </w:tc>
      </w:tr>
      <w:tr w14:paraId="71A8E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610" w:type="dxa"/>
            <w:vAlign w:val="center"/>
          </w:tcPr>
          <w:p w14:paraId="1583E1F0">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1698" w:type="dxa"/>
            <w:vMerge w:val="continue"/>
            <w:vAlign w:val="center"/>
          </w:tcPr>
          <w:p w14:paraId="0738CB0E">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p>
        </w:tc>
        <w:tc>
          <w:tcPr>
            <w:tcW w:w="4890" w:type="dxa"/>
            <w:vAlign w:val="center"/>
          </w:tcPr>
          <w:p w14:paraId="75B044F4">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0000FF"/>
                <w:sz w:val="24"/>
                <w:szCs w:val="24"/>
                <w:highlight w:val="none"/>
              </w:rPr>
            </w:pPr>
            <w:r>
              <w:rPr>
                <w:rFonts w:hint="eastAsia" w:ascii="宋体" w:hAnsi="宋体" w:eastAsia="宋体" w:cs="宋体"/>
                <w:color w:val="0000FF"/>
                <w:sz w:val="24"/>
                <w:szCs w:val="24"/>
                <w:highlight w:val="none"/>
              </w:rPr>
              <w:t>企业关键人员、与第二类精神药品经营活动相关人员两年内没有违反有关禁毒的</w:t>
            </w:r>
            <w:r>
              <w:rPr>
                <w:rFonts w:hint="eastAsia" w:ascii="宋体" w:hAnsi="宋体" w:eastAsia="宋体" w:cs="宋体"/>
                <w:color w:val="0000FF"/>
                <w:sz w:val="24"/>
                <w:szCs w:val="24"/>
                <w:highlight w:val="none"/>
                <w:lang w:eastAsia="zh-CN"/>
              </w:rPr>
              <w:t>法律法规</w:t>
            </w:r>
            <w:r>
              <w:rPr>
                <w:rFonts w:hint="eastAsia" w:ascii="宋体" w:hAnsi="宋体" w:eastAsia="宋体" w:cs="宋体"/>
                <w:color w:val="0000FF"/>
                <w:sz w:val="24"/>
                <w:szCs w:val="24"/>
                <w:highlight w:val="none"/>
              </w:rPr>
              <w:t>规定的行为。</w:t>
            </w:r>
          </w:p>
        </w:tc>
        <w:tc>
          <w:tcPr>
            <w:tcW w:w="7162" w:type="dxa"/>
            <w:vAlign w:val="center"/>
          </w:tcPr>
          <w:p w14:paraId="51FF0E76">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0000FF"/>
                <w:sz w:val="24"/>
                <w:szCs w:val="24"/>
                <w:highlight w:val="none"/>
              </w:rPr>
            </w:pPr>
            <w:r>
              <w:rPr>
                <w:rFonts w:hint="eastAsia" w:ascii="宋体" w:hAnsi="宋体" w:eastAsia="宋体" w:cs="宋体"/>
                <w:color w:val="0000FF"/>
                <w:sz w:val="24"/>
                <w:szCs w:val="24"/>
                <w:highlight w:val="none"/>
              </w:rPr>
              <w:t>查阅企业关键人员、与第二类精神药品经营活动相关人员两年内有无违反有关禁毒的</w:t>
            </w:r>
            <w:r>
              <w:rPr>
                <w:rFonts w:hint="eastAsia" w:ascii="宋体" w:hAnsi="宋体" w:eastAsia="宋体" w:cs="宋体"/>
                <w:color w:val="0000FF"/>
                <w:sz w:val="24"/>
                <w:szCs w:val="24"/>
                <w:highlight w:val="none"/>
                <w:lang w:eastAsia="zh-CN"/>
              </w:rPr>
              <w:t>法律法规</w:t>
            </w:r>
            <w:r>
              <w:rPr>
                <w:rFonts w:hint="eastAsia" w:ascii="宋体" w:hAnsi="宋体" w:eastAsia="宋体" w:cs="宋体"/>
                <w:color w:val="0000FF"/>
                <w:sz w:val="24"/>
                <w:szCs w:val="24"/>
                <w:highlight w:val="none"/>
              </w:rPr>
              <w:t>规定的行为。</w:t>
            </w:r>
          </w:p>
        </w:tc>
      </w:tr>
      <w:tr w14:paraId="2339F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4360" w:type="dxa"/>
            <w:gridSpan w:val="4"/>
            <w:vAlign w:val="center"/>
          </w:tcPr>
          <w:p w14:paraId="2D875697">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r>
              <w:rPr>
                <w:rFonts w:hint="eastAsia" w:ascii="楷体" w:hAnsi="楷体" w:eastAsia="楷体" w:cs="楷体"/>
                <w:b w:val="0"/>
                <w:bCs/>
                <w:color w:val="auto"/>
                <w:sz w:val="24"/>
                <w:szCs w:val="24"/>
                <w:highlight w:val="none"/>
              </w:rPr>
              <w:t>第</w:t>
            </w:r>
            <w:r>
              <w:rPr>
                <w:rFonts w:hint="eastAsia" w:ascii="楷体" w:hAnsi="楷体" w:eastAsia="楷体" w:cs="楷体"/>
                <w:b w:val="0"/>
                <w:bCs/>
                <w:color w:val="auto"/>
                <w:sz w:val="24"/>
                <w:szCs w:val="24"/>
                <w:highlight w:val="none"/>
                <w:lang w:eastAsia="zh-CN"/>
              </w:rPr>
              <w:t>二</w:t>
            </w:r>
            <w:r>
              <w:rPr>
                <w:rFonts w:hint="eastAsia" w:ascii="楷体" w:hAnsi="楷体" w:eastAsia="楷体" w:cs="楷体"/>
                <w:b w:val="0"/>
                <w:bCs/>
                <w:color w:val="auto"/>
                <w:sz w:val="24"/>
                <w:szCs w:val="24"/>
                <w:highlight w:val="none"/>
              </w:rPr>
              <w:t>部分</w:t>
            </w:r>
            <w:r>
              <w:rPr>
                <w:rFonts w:hint="eastAsia" w:ascii="楷体" w:hAnsi="楷体" w:eastAsia="楷体" w:cs="楷体"/>
                <w:b w:val="0"/>
                <w:bCs/>
                <w:color w:val="auto"/>
                <w:sz w:val="24"/>
                <w:szCs w:val="24"/>
                <w:highlight w:val="none"/>
                <w:lang w:val="en-US" w:eastAsia="zh-CN"/>
              </w:rPr>
              <w:t>　麻醉药品和精神药品管理条例及</w:t>
            </w:r>
            <w:r>
              <w:rPr>
                <w:rFonts w:hint="eastAsia" w:ascii="楷体" w:hAnsi="楷体" w:eastAsia="楷体" w:cs="楷体"/>
                <w:b w:val="0"/>
                <w:bCs/>
                <w:color w:val="auto"/>
                <w:sz w:val="24"/>
                <w:szCs w:val="24"/>
                <w:highlight w:val="none"/>
              </w:rPr>
              <w:t>药品经营质量管理规范符合性</w:t>
            </w:r>
          </w:p>
        </w:tc>
      </w:tr>
      <w:tr w14:paraId="55C1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610" w:type="dxa"/>
            <w:vAlign w:val="center"/>
          </w:tcPr>
          <w:p w14:paraId="0659A201">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698" w:type="dxa"/>
            <w:vMerge w:val="restart"/>
            <w:vAlign w:val="center"/>
          </w:tcPr>
          <w:p w14:paraId="0C030585">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人员</w:t>
            </w:r>
          </w:p>
        </w:tc>
        <w:tc>
          <w:tcPr>
            <w:tcW w:w="4890" w:type="dxa"/>
            <w:vAlign w:val="center"/>
          </w:tcPr>
          <w:p w14:paraId="13CE3693">
            <w:pPr>
              <w:keepNext w:val="0"/>
              <w:keepLines w:val="0"/>
              <w:pageBreakBefore w:val="0"/>
              <w:widowControl/>
              <w:kinsoku/>
              <w:wordWrap/>
              <w:overflowPunct/>
              <w:topLinePunct w:val="0"/>
              <w:bidi w:val="0"/>
              <w:adjustRightInd/>
              <w:snapToGrid/>
              <w:spacing w:line="32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企业法定代表人应当为第二类精神药品经营安全管理第一责任人。经营企业应当确定专门人员负责第二类精神药品管理工作。</w:t>
            </w:r>
          </w:p>
        </w:tc>
        <w:tc>
          <w:tcPr>
            <w:tcW w:w="7162" w:type="dxa"/>
            <w:vAlign w:val="center"/>
          </w:tcPr>
          <w:p w14:paraId="3623B3D3">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7.</w:t>
            </w:r>
            <w:r>
              <w:rPr>
                <w:rFonts w:hint="eastAsia" w:ascii="宋体" w:hAnsi="宋体" w:eastAsia="宋体" w:cs="宋体"/>
                <w:color w:val="auto"/>
                <w:sz w:val="24"/>
                <w:szCs w:val="24"/>
                <w:highlight w:val="none"/>
              </w:rPr>
              <w:t>查看企业质量管理体系文件或任命文件中是否明确法定代表人为第二类精神药品经营安全管理第一责任人。</w:t>
            </w:r>
          </w:p>
          <w:p w14:paraId="14C1E1C4">
            <w:pPr>
              <w:keepNext w:val="0"/>
              <w:keepLines w:val="0"/>
              <w:pageBreakBefore w:val="0"/>
              <w:numPr>
                <w:ilvl w:val="255"/>
                <w:numId w:val="0"/>
              </w:numPr>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查看企业质量管理体系文件或任命文件中是否明确专门人员负责第二类精神药品管理工作。</w:t>
            </w:r>
          </w:p>
        </w:tc>
      </w:tr>
      <w:tr w14:paraId="440BC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610" w:type="dxa"/>
            <w:vAlign w:val="center"/>
          </w:tcPr>
          <w:p w14:paraId="44828D19">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1698" w:type="dxa"/>
            <w:vMerge w:val="continue"/>
            <w:vAlign w:val="center"/>
          </w:tcPr>
          <w:p w14:paraId="6DFF0314">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p>
        </w:tc>
        <w:tc>
          <w:tcPr>
            <w:tcW w:w="4890" w:type="dxa"/>
            <w:vAlign w:val="center"/>
          </w:tcPr>
          <w:p w14:paraId="71DCBA03">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企业及其工作人员最近2年内无违反有关禁毒法律、行政法规规定的行为。</w:t>
            </w:r>
          </w:p>
        </w:tc>
        <w:tc>
          <w:tcPr>
            <w:tcW w:w="7162" w:type="dxa"/>
            <w:shd w:val="clear" w:color="auto" w:fill="auto"/>
            <w:vAlign w:val="center"/>
          </w:tcPr>
          <w:p w14:paraId="11C2552C">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eastAsia="宋体" w:cs="宋体"/>
                <w:color w:val="auto"/>
                <w:sz w:val="24"/>
                <w:szCs w:val="24"/>
                <w:highlight w:val="none"/>
              </w:rPr>
              <w:t>查看关键人员及相关人员是否有违反有关禁毒的法律、行政法规规定的行为。</w:t>
            </w:r>
          </w:p>
        </w:tc>
      </w:tr>
      <w:tr w14:paraId="2F7EB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610" w:type="dxa"/>
            <w:vAlign w:val="center"/>
          </w:tcPr>
          <w:p w14:paraId="543D6641">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698" w:type="dxa"/>
            <w:vMerge w:val="continue"/>
            <w:vAlign w:val="center"/>
          </w:tcPr>
          <w:p w14:paraId="468EE034">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p>
        </w:tc>
        <w:tc>
          <w:tcPr>
            <w:tcW w:w="4890" w:type="dxa"/>
            <w:vAlign w:val="center"/>
          </w:tcPr>
          <w:p w14:paraId="53F29128">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经营</w:t>
            </w:r>
            <w:r>
              <w:rPr>
                <w:rFonts w:hint="eastAsia" w:ascii="宋体" w:hAnsi="宋体" w:cs="宋体"/>
                <w:color w:val="auto"/>
                <w:kern w:val="0"/>
                <w:sz w:val="24"/>
                <w:szCs w:val="24"/>
                <w:highlight w:val="none"/>
                <w:lang w:eastAsia="zh-CN" w:bidi="ar"/>
              </w:rPr>
              <w:t>主要负责人</w:t>
            </w:r>
            <w:r>
              <w:rPr>
                <w:rFonts w:hint="eastAsia" w:ascii="宋体" w:hAnsi="宋体" w:eastAsia="宋体" w:cs="宋体"/>
                <w:color w:val="auto"/>
                <w:kern w:val="0"/>
                <w:sz w:val="24"/>
                <w:szCs w:val="24"/>
                <w:highlight w:val="none"/>
                <w:lang w:bidi="ar"/>
              </w:rPr>
              <w:t>、质量负责人、管理人员、直接业务人员应当熟悉第二类精神药品管理的相关知识和法律法规；企业管理人员、直接业务人员应当保持相对稳定。其中质量负责人应当为执业药师。</w:t>
            </w:r>
          </w:p>
        </w:tc>
        <w:tc>
          <w:tcPr>
            <w:tcW w:w="7162" w:type="dxa"/>
            <w:shd w:val="clear" w:color="auto" w:fill="auto"/>
            <w:vAlign w:val="center"/>
          </w:tcPr>
          <w:p w14:paraId="322827A0">
            <w:pPr>
              <w:keepNext w:val="0"/>
              <w:keepLines w:val="0"/>
              <w:pageBreakBefore w:val="0"/>
              <w:numPr>
                <w:ilvl w:val="0"/>
                <w:numId w:val="4"/>
              </w:numPr>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w:t>
            </w:r>
            <w:r>
              <w:rPr>
                <w:rFonts w:hint="eastAsia" w:ascii="宋体" w:hAnsi="宋体" w:cs="宋体"/>
                <w:color w:val="auto"/>
                <w:sz w:val="24"/>
                <w:szCs w:val="24"/>
                <w:highlight w:val="none"/>
                <w:lang w:eastAsia="zh-CN"/>
              </w:rPr>
              <w:t>主要负责人</w:t>
            </w:r>
            <w:r>
              <w:rPr>
                <w:rFonts w:hint="eastAsia" w:ascii="宋体" w:hAnsi="宋体" w:eastAsia="宋体" w:cs="宋体"/>
                <w:color w:val="auto"/>
                <w:sz w:val="24"/>
                <w:szCs w:val="24"/>
                <w:highlight w:val="none"/>
              </w:rPr>
              <w:t>、质量负责人、管理人员、直接业务人员是否熟悉第二类精神药品管理的相关知识和法律法规。</w:t>
            </w:r>
          </w:p>
          <w:p w14:paraId="12DD6663">
            <w:pPr>
              <w:keepNext w:val="0"/>
              <w:keepLines w:val="0"/>
              <w:pageBreakBefore w:val="0"/>
              <w:numPr>
                <w:ilvl w:val="255"/>
                <w:numId w:val="0"/>
              </w:numPr>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查验质量负责人执业药师职称证书原件及注册证书原件，确认是否为执业药师并注册在该企业。</w:t>
            </w:r>
          </w:p>
        </w:tc>
      </w:tr>
      <w:tr w14:paraId="032CC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610" w:type="dxa"/>
            <w:vAlign w:val="center"/>
          </w:tcPr>
          <w:p w14:paraId="20633CCE">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1698" w:type="dxa"/>
            <w:vMerge w:val="continue"/>
            <w:vAlign w:val="center"/>
          </w:tcPr>
          <w:p w14:paraId="1DF35AE5">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p>
        </w:tc>
        <w:tc>
          <w:tcPr>
            <w:tcW w:w="4890" w:type="dxa"/>
            <w:vAlign w:val="center"/>
          </w:tcPr>
          <w:p w14:paraId="3674A72C">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管理人员、直接业务人员应当接受特殊药品有关管理培训，每年不少于10学时。</w:t>
            </w:r>
          </w:p>
        </w:tc>
        <w:tc>
          <w:tcPr>
            <w:tcW w:w="7162" w:type="dxa"/>
            <w:shd w:val="clear" w:color="auto" w:fill="auto"/>
            <w:vAlign w:val="center"/>
          </w:tcPr>
          <w:p w14:paraId="6CEFF6BA">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eastAsia="宋体" w:cs="宋体"/>
                <w:color w:val="auto"/>
                <w:sz w:val="24"/>
                <w:szCs w:val="24"/>
                <w:highlight w:val="none"/>
              </w:rPr>
              <w:t>查看培训内容是否包含：禁毒相关法律法规、二精药品专业知识及技能、二精药品质量和安全管理制度、职责及岗位操作规程。</w:t>
            </w:r>
          </w:p>
          <w:p w14:paraId="74CDF635">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查看培训计划和记录，每年是否不少于10学时。</w:t>
            </w:r>
          </w:p>
        </w:tc>
      </w:tr>
      <w:tr w14:paraId="2FF95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610" w:type="dxa"/>
            <w:vAlign w:val="center"/>
          </w:tcPr>
          <w:p w14:paraId="512A8470">
            <w:pPr>
              <w:keepNext w:val="0"/>
              <w:keepLines w:val="0"/>
              <w:pageBreakBefore w:val="0"/>
              <w:kinsoku/>
              <w:wordWrap/>
              <w:overflowPunct/>
              <w:topLinePunct w:val="0"/>
              <w:autoSpaceDE w:val="0"/>
              <w:autoSpaceDN w:val="0"/>
              <w:bidi w:val="0"/>
              <w:adjustRightInd/>
              <w:snapToGrid/>
              <w:spacing w:line="320" w:lineRule="exac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698" w:type="dxa"/>
            <w:vMerge w:val="restart"/>
            <w:vAlign w:val="center"/>
          </w:tcPr>
          <w:p w14:paraId="7FF1C077">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设施设备</w:t>
            </w:r>
          </w:p>
        </w:tc>
        <w:tc>
          <w:tcPr>
            <w:tcW w:w="4890" w:type="dxa"/>
            <w:vAlign w:val="center"/>
          </w:tcPr>
          <w:p w14:paraId="3403D572">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应当在药品库房中设立独立的第二类精神药品专库或专柜；设立的专库（柜）应当有报警设施、设备。应当配备配送运输、收发货安全管理设施。</w:t>
            </w:r>
          </w:p>
        </w:tc>
        <w:tc>
          <w:tcPr>
            <w:tcW w:w="7162" w:type="dxa"/>
            <w:shd w:val="clear" w:color="auto" w:fill="auto"/>
            <w:vAlign w:val="center"/>
          </w:tcPr>
          <w:p w14:paraId="3FF3B66D">
            <w:pPr>
              <w:keepNext w:val="0"/>
              <w:keepLines w:val="0"/>
              <w:pageBreakBefore w:val="0"/>
              <w:numPr>
                <w:ilvl w:val="0"/>
                <w:numId w:val="0"/>
              </w:numPr>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查看企业仓库设立的专库（柜）是否牢固、是否能有效防丢失。</w:t>
            </w:r>
          </w:p>
          <w:p w14:paraId="1DAA735D">
            <w:pPr>
              <w:keepNext w:val="0"/>
              <w:keepLines w:val="0"/>
              <w:pageBreakBefore w:val="0"/>
              <w:numPr>
                <w:ilvl w:val="0"/>
                <w:numId w:val="0"/>
              </w:numPr>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查看企业仓库设立的专库（柜）是否配备监控和报警设施、设备。</w:t>
            </w:r>
          </w:p>
          <w:p w14:paraId="0B20CA0D">
            <w:pPr>
              <w:keepNext w:val="0"/>
              <w:keepLines w:val="0"/>
              <w:pageBreakBefore w:val="0"/>
              <w:numPr>
                <w:ilvl w:val="0"/>
                <w:numId w:val="0"/>
              </w:numPr>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rPr>
              <w:t>查看专库（柜）是否加锁并由专人管理。</w:t>
            </w:r>
          </w:p>
          <w:p w14:paraId="439DB678">
            <w:pPr>
              <w:keepNext w:val="0"/>
              <w:keepLines w:val="0"/>
              <w:pageBreakBefore w:val="0"/>
              <w:numPr>
                <w:ilvl w:val="0"/>
                <w:numId w:val="0"/>
              </w:numPr>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企业若自行运输第二类精神药品，查看运输设备是否密闭，货箱门锁是否为防盗锁。</w:t>
            </w:r>
          </w:p>
          <w:p w14:paraId="3D1BE9E5">
            <w:pPr>
              <w:keepNext w:val="0"/>
              <w:keepLines w:val="0"/>
              <w:pageBreakBefore w:val="0"/>
              <w:numPr>
                <w:ilvl w:val="255"/>
                <w:numId w:val="0"/>
              </w:numPr>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5.</w:t>
            </w:r>
            <w:r>
              <w:rPr>
                <w:rFonts w:hint="eastAsia" w:ascii="宋体" w:hAnsi="宋体" w:eastAsia="宋体" w:cs="宋体"/>
                <w:color w:val="auto"/>
                <w:sz w:val="24"/>
                <w:szCs w:val="24"/>
                <w:highlight w:val="none"/>
              </w:rPr>
              <w:t>企业若邮寄运输第二类精神药品，查看是否申领邮寄证明，是否在指定收寄的邮政营业机构邮寄，是否符合《麻醉药品和精神药品邮寄管理办法》要求。</w:t>
            </w:r>
          </w:p>
        </w:tc>
      </w:tr>
      <w:tr w14:paraId="603B4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610" w:type="dxa"/>
            <w:vAlign w:val="center"/>
          </w:tcPr>
          <w:p w14:paraId="5C0B8806">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1698" w:type="dxa"/>
            <w:vMerge w:val="continue"/>
            <w:vAlign w:val="center"/>
          </w:tcPr>
          <w:p w14:paraId="5D6CAAD1">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p>
        </w:tc>
        <w:tc>
          <w:tcPr>
            <w:tcW w:w="4890" w:type="dxa"/>
            <w:vAlign w:val="center"/>
          </w:tcPr>
          <w:p w14:paraId="0E737EF4">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应当建立向药品监管部门或其指定机构报送二类精神药品经营信息的网络终端。</w:t>
            </w:r>
          </w:p>
        </w:tc>
        <w:tc>
          <w:tcPr>
            <w:tcW w:w="7162" w:type="dxa"/>
            <w:shd w:val="clear" w:color="auto" w:fill="auto"/>
            <w:vAlign w:val="center"/>
          </w:tcPr>
          <w:p w14:paraId="4CA24FE5">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查看是否建立有药品经营信息报送网络终端。</w:t>
            </w:r>
          </w:p>
        </w:tc>
      </w:tr>
      <w:tr w14:paraId="19DB8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610" w:type="dxa"/>
            <w:vAlign w:val="center"/>
          </w:tcPr>
          <w:p w14:paraId="2396FAC7">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1698" w:type="dxa"/>
            <w:vMerge w:val="restart"/>
            <w:vAlign w:val="center"/>
          </w:tcPr>
          <w:p w14:paraId="7C445AAC">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制度</w:t>
            </w:r>
          </w:p>
        </w:tc>
        <w:tc>
          <w:tcPr>
            <w:tcW w:w="4890" w:type="dxa"/>
            <w:vAlign w:val="center"/>
          </w:tcPr>
          <w:p w14:paraId="56D6AB5E">
            <w:pPr>
              <w:keepNext w:val="0"/>
              <w:keepLines w:val="0"/>
              <w:pageBreakBefore w:val="0"/>
              <w:widowControl/>
              <w:kinsoku/>
              <w:wordWrap/>
              <w:overflowPunct/>
              <w:topLinePunct w:val="0"/>
              <w:bidi w:val="0"/>
              <w:adjustRightInd/>
              <w:snapToGrid/>
              <w:spacing w:line="320" w:lineRule="exac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第二类精神药品安全管理制度应当至少涵盖以下内容：</w:t>
            </w:r>
          </w:p>
          <w:p w14:paraId="7A44423D">
            <w:pPr>
              <w:keepNext w:val="0"/>
              <w:keepLines w:val="0"/>
              <w:pageBreakBefore w:val="0"/>
              <w:widowControl/>
              <w:kinsoku/>
              <w:wordWrap/>
              <w:overflowPunct/>
              <w:topLinePunct w:val="0"/>
              <w:bidi w:val="0"/>
              <w:adjustRightInd/>
              <w:snapToGrid/>
              <w:spacing w:line="320" w:lineRule="exac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安全报警设施、设备定期检查、维护制度；（2）24小时安全值班制度；（3）流入非法渠道报告处理制度；（4）报残损、销毁管理制度；（5）安全管理和向药品监督管理部门或其指定机构报送经营信息的网络说明材料和操作手册；（6）专用账册或专用GSP计算机系统或功能模块管理制度；（7）配送运输安全管理制度；（8）邮寄管理制度。</w:t>
            </w:r>
          </w:p>
        </w:tc>
        <w:tc>
          <w:tcPr>
            <w:tcW w:w="7162" w:type="dxa"/>
            <w:shd w:val="clear" w:color="auto" w:fill="auto"/>
            <w:vAlign w:val="center"/>
          </w:tcPr>
          <w:p w14:paraId="4F3D818B">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查看企业安全管理制度是否</w:t>
            </w:r>
            <w:r>
              <w:rPr>
                <w:rFonts w:hint="eastAsia" w:ascii="宋体" w:hAnsi="宋体" w:cs="宋体"/>
                <w:color w:val="auto"/>
                <w:sz w:val="24"/>
                <w:szCs w:val="24"/>
                <w:highlight w:val="none"/>
                <w:lang w:eastAsia="zh-CN"/>
              </w:rPr>
              <w:t>包含该</w:t>
            </w:r>
            <w:r>
              <w:rPr>
                <w:rFonts w:hint="eastAsia" w:ascii="宋体" w:hAnsi="宋体" w:eastAsia="宋体" w:cs="宋体"/>
                <w:color w:val="auto"/>
                <w:sz w:val="24"/>
                <w:szCs w:val="24"/>
                <w:highlight w:val="none"/>
              </w:rPr>
              <w:t>内容。</w:t>
            </w:r>
          </w:p>
        </w:tc>
      </w:tr>
      <w:tr w14:paraId="7E06F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10" w:type="dxa"/>
            <w:vAlign w:val="center"/>
          </w:tcPr>
          <w:p w14:paraId="7A5896E2">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1698" w:type="dxa"/>
            <w:vMerge w:val="continue"/>
            <w:vAlign w:val="center"/>
          </w:tcPr>
          <w:p w14:paraId="3944D006">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p>
        </w:tc>
        <w:tc>
          <w:tcPr>
            <w:tcW w:w="4890" w:type="dxa"/>
            <w:vAlign w:val="center"/>
          </w:tcPr>
          <w:p w14:paraId="01C3F868">
            <w:pPr>
              <w:keepNext w:val="0"/>
              <w:keepLines w:val="0"/>
              <w:pageBreakBefore w:val="0"/>
              <w:widowControl/>
              <w:kinsoku/>
              <w:wordWrap/>
              <w:overflowPunct/>
              <w:topLinePunct w:val="0"/>
              <w:bidi w:val="0"/>
              <w:adjustRightInd/>
              <w:snapToGrid/>
              <w:spacing w:line="320" w:lineRule="exac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第二类精神药品质量管理制度应当至少涵盖以下内容：（1）第二类精神药品购入、验收、储存、发货复核制度；（2）第二类精神药品销售管理制度，包括查验购药企业或患者身份证明制度；（3）第二类精神药品退货、收回和处理的管理制度；（4）运输、邮寄管理制度；（</w:t>
            </w:r>
            <w:r>
              <w:rPr>
                <w:rFonts w:hint="eastAsia" w:ascii="宋体" w:hAnsi="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）安全经营的评价制度；（</w:t>
            </w:r>
            <w:r>
              <w:rPr>
                <w:rFonts w:hint="eastAsia" w:ascii="宋体" w:hAnsi="宋体" w:cs="宋体"/>
                <w:color w:val="auto"/>
                <w:kern w:val="0"/>
                <w:sz w:val="24"/>
                <w:szCs w:val="24"/>
                <w:highlight w:val="none"/>
                <w:lang w:val="en-US" w:eastAsia="zh-CN" w:bidi="ar"/>
              </w:rPr>
              <w:t>6</w:t>
            </w:r>
            <w:r>
              <w:rPr>
                <w:rFonts w:hint="eastAsia" w:ascii="宋体" w:hAnsi="宋体" w:eastAsia="宋体" w:cs="宋体"/>
                <w:color w:val="auto"/>
                <w:kern w:val="0"/>
                <w:sz w:val="24"/>
                <w:szCs w:val="24"/>
                <w:highlight w:val="none"/>
                <w:lang w:bidi="ar"/>
              </w:rPr>
              <w:t>）过期、损坏的销毁制度；（</w:t>
            </w:r>
            <w:r>
              <w:rPr>
                <w:rFonts w:hint="eastAsia" w:ascii="宋体" w:hAnsi="宋体" w:cs="宋体"/>
                <w:color w:val="auto"/>
                <w:kern w:val="0"/>
                <w:sz w:val="24"/>
                <w:szCs w:val="24"/>
                <w:highlight w:val="none"/>
                <w:lang w:val="en-US" w:eastAsia="zh-CN" w:bidi="ar"/>
              </w:rPr>
              <w:t>7</w:t>
            </w:r>
            <w:r>
              <w:rPr>
                <w:rFonts w:hint="eastAsia" w:ascii="宋体" w:hAnsi="宋体" w:eastAsia="宋体" w:cs="宋体"/>
                <w:color w:val="auto"/>
                <w:kern w:val="0"/>
                <w:sz w:val="24"/>
                <w:szCs w:val="24"/>
                <w:highlight w:val="none"/>
                <w:lang w:bidi="ar"/>
              </w:rPr>
              <w:t>）自检制度。</w:t>
            </w:r>
          </w:p>
        </w:tc>
        <w:tc>
          <w:tcPr>
            <w:tcW w:w="7162" w:type="dxa"/>
            <w:shd w:val="clear" w:color="auto" w:fill="auto"/>
            <w:vAlign w:val="center"/>
          </w:tcPr>
          <w:p w14:paraId="70DF16A5">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查看企业质量管理制度是否</w:t>
            </w:r>
            <w:r>
              <w:rPr>
                <w:rFonts w:hint="eastAsia" w:ascii="宋体" w:hAnsi="宋体" w:cs="宋体"/>
                <w:color w:val="auto"/>
                <w:sz w:val="24"/>
                <w:szCs w:val="24"/>
                <w:highlight w:val="none"/>
                <w:lang w:eastAsia="zh-CN"/>
              </w:rPr>
              <w:t>包含该</w:t>
            </w:r>
            <w:r>
              <w:rPr>
                <w:rFonts w:hint="eastAsia" w:ascii="宋体" w:hAnsi="宋体" w:eastAsia="宋体" w:cs="宋体"/>
                <w:color w:val="auto"/>
                <w:sz w:val="24"/>
                <w:szCs w:val="24"/>
                <w:highlight w:val="none"/>
              </w:rPr>
              <w:t>内容。</w:t>
            </w:r>
          </w:p>
        </w:tc>
      </w:tr>
      <w:tr w14:paraId="3997D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610" w:type="dxa"/>
            <w:vAlign w:val="center"/>
          </w:tcPr>
          <w:p w14:paraId="61A722A6">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1698" w:type="dxa"/>
            <w:vAlign w:val="center"/>
          </w:tcPr>
          <w:p w14:paraId="7D3379A1">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其他</w:t>
            </w:r>
          </w:p>
        </w:tc>
        <w:tc>
          <w:tcPr>
            <w:tcW w:w="4890" w:type="dxa"/>
            <w:vAlign w:val="center"/>
          </w:tcPr>
          <w:p w14:paraId="13D90253">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定期对企业安全经营状况进行评价。</w:t>
            </w:r>
          </w:p>
        </w:tc>
        <w:tc>
          <w:tcPr>
            <w:tcW w:w="7162" w:type="dxa"/>
            <w:shd w:val="clear" w:color="auto" w:fill="auto"/>
            <w:vAlign w:val="center"/>
          </w:tcPr>
          <w:p w14:paraId="13B6F746">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应当按规定对本企业安全经营状况进行评价，并形成报告。自检应当形成自检报告，自检报告应当包括缺陷项目的整改措施，并有整改结果的效果评价</w:t>
            </w:r>
            <w:r>
              <w:rPr>
                <w:rFonts w:hint="eastAsia" w:ascii="宋体" w:hAnsi="宋体" w:eastAsia="宋体" w:cs="宋体"/>
                <w:color w:val="auto"/>
                <w:sz w:val="24"/>
                <w:szCs w:val="24"/>
                <w:highlight w:val="none"/>
              </w:rPr>
              <w:t>。</w:t>
            </w:r>
          </w:p>
        </w:tc>
      </w:tr>
    </w:tbl>
    <w:p w14:paraId="3C66B89E">
      <w:pPr>
        <w:keepNext w:val="0"/>
        <w:keepLines w:val="0"/>
        <w:pageBreakBefore w:val="0"/>
        <w:widowControl w:val="0"/>
        <w:kinsoku/>
        <w:wordWrap/>
        <w:overflowPunct/>
        <w:topLinePunct w:val="0"/>
        <w:autoSpaceDE/>
        <w:autoSpaceDN/>
        <w:bidi w:val="0"/>
        <w:adjustRightInd/>
        <w:snapToGrid/>
        <w:spacing w:line="20" w:lineRule="exact"/>
        <w:textAlignment w:val="auto"/>
        <w:rPr>
          <w:rFonts w:ascii="黑体" w:eastAsia="黑体"/>
          <w:color w:val="auto"/>
          <w:sz w:val="24"/>
          <w:szCs w:val="24"/>
          <w:highlight w:val="none"/>
        </w:rPr>
      </w:pPr>
    </w:p>
    <w:p w14:paraId="295A1765">
      <w:pPr>
        <w:rPr>
          <w:rFonts w:hint="eastAsia" w:ascii="黑体" w:eastAsia="黑体"/>
          <w:color w:val="auto"/>
          <w:sz w:val="24"/>
          <w:szCs w:val="24"/>
          <w:highlight w:val="none"/>
        </w:rPr>
      </w:pPr>
      <w:r>
        <w:rPr>
          <w:rFonts w:hint="eastAsia" w:ascii="黑体" w:eastAsia="黑体"/>
          <w:color w:val="auto"/>
          <w:sz w:val="24"/>
          <w:szCs w:val="24"/>
          <w:highlight w:val="none"/>
        </w:rPr>
        <w:br w:type="page"/>
      </w:r>
    </w:p>
    <w:p w14:paraId="4FCF6A91">
      <w:pPr>
        <w:rPr>
          <w:rFonts w:hint="eastAsia" w:ascii="黑体" w:eastAsia="黑体"/>
          <w:color w:val="auto"/>
          <w:sz w:val="32"/>
          <w:szCs w:val="32"/>
          <w:highlight w:val="none"/>
        </w:rPr>
      </w:pPr>
      <w:r>
        <w:rPr>
          <w:rFonts w:hint="eastAsia" w:ascii="黑体" w:eastAsia="黑体"/>
          <w:color w:val="auto"/>
          <w:sz w:val="32"/>
          <w:szCs w:val="32"/>
          <w:highlight w:val="none"/>
          <w:lang w:eastAsia="zh-CN"/>
        </w:rPr>
        <w:t>血液制品</w:t>
      </w:r>
      <w:r>
        <w:rPr>
          <w:rFonts w:hint="eastAsia" w:ascii="黑体" w:eastAsia="黑体"/>
          <w:color w:val="auto"/>
          <w:sz w:val="32"/>
          <w:szCs w:val="32"/>
          <w:highlight w:val="none"/>
        </w:rPr>
        <w:t>经营范围</w:t>
      </w:r>
    </w:p>
    <w:p w14:paraId="33D1A9E0">
      <w:pPr>
        <w:pStyle w:val="2"/>
        <w:rPr>
          <w:color w:val="auto"/>
          <w:sz w:val="24"/>
          <w:szCs w:val="24"/>
          <w:highlight w:val="none"/>
        </w:rPr>
      </w:pPr>
    </w:p>
    <w:tbl>
      <w:tblPr>
        <w:tblStyle w:val="11"/>
        <w:tblW w:w="14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702"/>
        <w:gridCol w:w="7138"/>
        <w:gridCol w:w="4888"/>
      </w:tblGrid>
      <w:tr w14:paraId="03860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610" w:type="dxa"/>
            <w:vAlign w:val="center"/>
          </w:tcPr>
          <w:p w14:paraId="3568B4D3">
            <w:pPr>
              <w:keepNext w:val="0"/>
              <w:keepLines w:val="0"/>
              <w:pageBreakBefore w:val="0"/>
              <w:widowControl w:val="0"/>
              <w:kinsoku/>
              <w:wordWrap/>
              <w:overflowPunct/>
              <w:topLinePunct w:val="0"/>
              <w:autoSpaceDE w:val="0"/>
              <w:autoSpaceDN w:val="0"/>
              <w:bidi w:val="0"/>
              <w:adjustRightInd/>
              <w:spacing w:line="320" w:lineRule="exact"/>
              <w:textAlignment w:val="auto"/>
              <w:rPr>
                <w:rFonts w:ascii="宋体"/>
                <w:b/>
                <w:bCs/>
                <w:color w:val="auto"/>
                <w:sz w:val="24"/>
                <w:szCs w:val="24"/>
                <w:highlight w:val="none"/>
              </w:rPr>
            </w:pPr>
            <w:r>
              <w:rPr>
                <w:rFonts w:hint="eastAsia" w:ascii="黑体" w:hAnsi="黑体" w:eastAsia="黑体" w:cs="黑体"/>
                <w:b w:val="0"/>
                <w:bCs w:val="0"/>
                <w:color w:val="auto"/>
                <w:sz w:val="24"/>
                <w:szCs w:val="24"/>
                <w:highlight w:val="none"/>
              </w:rPr>
              <w:t>序号</w:t>
            </w:r>
          </w:p>
        </w:tc>
        <w:tc>
          <w:tcPr>
            <w:tcW w:w="1702" w:type="dxa"/>
            <w:vAlign w:val="center"/>
          </w:tcPr>
          <w:p w14:paraId="364A5E6B">
            <w:pPr>
              <w:keepNext w:val="0"/>
              <w:keepLines w:val="0"/>
              <w:pageBreakBefore w:val="0"/>
              <w:widowControl w:val="0"/>
              <w:kinsoku/>
              <w:wordWrap/>
              <w:overflowPunct/>
              <w:topLinePunct w:val="0"/>
              <w:autoSpaceDE w:val="0"/>
              <w:autoSpaceDN w:val="0"/>
              <w:bidi w:val="0"/>
              <w:adjustRightInd/>
              <w:spacing w:line="320" w:lineRule="exact"/>
              <w:jc w:val="center"/>
              <w:textAlignment w:val="auto"/>
              <w:rPr>
                <w:rFonts w:ascii="宋体" w:hAnsi="宋体"/>
                <w:b/>
                <w:bCs/>
                <w:color w:val="auto"/>
                <w:sz w:val="24"/>
                <w:szCs w:val="24"/>
                <w:highlight w:val="none"/>
              </w:rPr>
            </w:pPr>
            <w:r>
              <w:rPr>
                <w:rFonts w:hint="eastAsia" w:ascii="黑体" w:hAnsi="黑体" w:eastAsia="黑体" w:cs="黑体"/>
                <w:b w:val="0"/>
                <w:bCs w:val="0"/>
                <w:color w:val="auto"/>
                <w:sz w:val="24"/>
                <w:szCs w:val="24"/>
                <w:highlight w:val="none"/>
                <w:lang w:eastAsia="zh-CN"/>
              </w:rPr>
              <w:t>内容</w:t>
            </w:r>
          </w:p>
        </w:tc>
        <w:tc>
          <w:tcPr>
            <w:tcW w:w="7138" w:type="dxa"/>
            <w:vAlign w:val="center"/>
          </w:tcPr>
          <w:p w14:paraId="3F52F480">
            <w:pPr>
              <w:keepNext w:val="0"/>
              <w:keepLines w:val="0"/>
              <w:pageBreakBefore w:val="0"/>
              <w:widowControl w:val="0"/>
              <w:kinsoku/>
              <w:wordWrap/>
              <w:overflowPunct/>
              <w:topLinePunct w:val="0"/>
              <w:autoSpaceDE w:val="0"/>
              <w:autoSpaceDN w:val="0"/>
              <w:bidi w:val="0"/>
              <w:adjustRightInd/>
              <w:spacing w:line="320" w:lineRule="exact"/>
              <w:jc w:val="center"/>
              <w:textAlignment w:val="auto"/>
              <w:rPr>
                <w:rFonts w:ascii="宋体" w:hAnsi="宋体"/>
                <w:b/>
                <w:bCs/>
                <w:color w:val="auto"/>
                <w:sz w:val="24"/>
                <w:szCs w:val="24"/>
                <w:highlight w:val="none"/>
              </w:rPr>
            </w:pPr>
            <w:r>
              <w:rPr>
                <w:rFonts w:hint="eastAsia" w:ascii="黑体" w:hAnsi="黑体" w:eastAsia="黑体" w:cs="黑体"/>
                <w:b w:val="0"/>
                <w:bCs w:val="0"/>
                <w:color w:val="auto"/>
                <w:sz w:val="24"/>
                <w:szCs w:val="24"/>
                <w:highlight w:val="none"/>
              </w:rPr>
              <w:t>检查项目</w:t>
            </w:r>
          </w:p>
        </w:tc>
        <w:tc>
          <w:tcPr>
            <w:tcW w:w="4888" w:type="dxa"/>
            <w:vAlign w:val="center"/>
          </w:tcPr>
          <w:p w14:paraId="03F95785">
            <w:pPr>
              <w:keepNext w:val="0"/>
              <w:keepLines w:val="0"/>
              <w:pageBreakBefore w:val="0"/>
              <w:widowControl w:val="0"/>
              <w:kinsoku/>
              <w:wordWrap/>
              <w:overflowPunct/>
              <w:topLinePunct w:val="0"/>
              <w:autoSpaceDE w:val="0"/>
              <w:autoSpaceDN w:val="0"/>
              <w:bidi w:val="0"/>
              <w:adjustRightInd/>
              <w:spacing w:line="320" w:lineRule="exact"/>
              <w:jc w:val="center"/>
              <w:textAlignment w:val="auto"/>
              <w:rPr>
                <w:rFonts w:ascii="宋体" w:hAnsi="宋体"/>
                <w:b/>
                <w:bCs/>
                <w:color w:val="auto"/>
                <w:sz w:val="24"/>
                <w:szCs w:val="24"/>
                <w:highlight w:val="none"/>
              </w:rPr>
            </w:pPr>
            <w:r>
              <w:rPr>
                <w:rFonts w:hint="eastAsia" w:ascii="黑体" w:hAnsi="黑体" w:eastAsia="黑体" w:cs="黑体"/>
                <w:b w:val="0"/>
                <w:bCs w:val="0"/>
                <w:color w:val="auto"/>
                <w:sz w:val="24"/>
                <w:szCs w:val="24"/>
                <w:highlight w:val="none"/>
              </w:rPr>
              <w:t>检查细则</w:t>
            </w:r>
          </w:p>
        </w:tc>
      </w:tr>
      <w:tr w14:paraId="36DC6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4338" w:type="dxa"/>
            <w:gridSpan w:val="4"/>
            <w:vAlign w:val="center"/>
          </w:tcPr>
          <w:p w14:paraId="79BDD327">
            <w:pPr>
              <w:pStyle w:val="2"/>
              <w:keepNext w:val="0"/>
              <w:keepLines w:val="0"/>
              <w:pageBreakBefore w:val="0"/>
              <w:widowControl w:val="0"/>
              <w:kinsoku/>
              <w:wordWrap/>
              <w:overflowPunct/>
              <w:topLinePunct w:val="0"/>
              <w:bidi w:val="0"/>
              <w:adjustRightInd/>
              <w:spacing w:line="320" w:lineRule="exact"/>
              <w:textAlignment w:val="auto"/>
              <w:rPr>
                <w:color w:val="auto"/>
                <w:sz w:val="24"/>
                <w:szCs w:val="24"/>
                <w:highlight w:val="none"/>
              </w:rPr>
            </w:pPr>
            <w:r>
              <w:rPr>
                <w:rFonts w:hint="eastAsia" w:ascii="楷体" w:hAnsi="楷体" w:eastAsia="楷体" w:cs="楷体"/>
                <w:b w:val="0"/>
                <w:bCs/>
                <w:color w:val="auto"/>
                <w:sz w:val="24"/>
                <w:szCs w:val="24"/>
                <w:highlight w:val="none"/>
              </w:rPr>
              <w:t>第一部分</w:t>
            </w:r>
            <w:r>
              <w:rPr>
                <w:rFonts w:hint="eastAsia" w:ascii="楷体" w:hAnsi="楷体" w:eastAsia="楷体" w:cs="楷体"/>
                <w:b w:val="0"/>
                <w:bCs/>
                <w:color w:val="auto"/>
                <w:sz w:val="24"/>
                <w:szCs w:val="24"/>
                <w:highlight w:val="none"/>
                <w:lang w:val="en-US" w:eastAsia="zh-CN"/>
              </w:rPr>
              <w:t>　</w:t>
            </w:r>
            <w:r>
              <w:rPr>
                <w:rFonts w:hint="eastAsia" w:ascii="楷体" w:hAnsi="楷体" w:eastAsia="楷体" w:cs="楷体"/>
                <w:b w:val="0"/>
                <w:bCs/>
                <w:color w:val="auto"/>
                <w:sz w:val="24"/>
                <w:szCs w:val="24"/>
                <w:highlight w:val="none"/>
              </w:rPr>
              <w:t>药品</w:t>
            </w:r>
            <w:r>
              <w:rPr>
                <w:rFonts w:hint="eastAsia" w:ascii="楷体" w:hAnsi="楷体" w:eastAsia="楷体" w:cs="楷体"/>
                <w:b w:val="0"/>
                <w:bCs/>
                <w:color w:val="auto"/>
                <w:kern w:val="0"/>
                <w:sz w:val="24"/>
                <w:szCs w:val="24"/>
                <w:highlight w:val="none"/>
                <w:lang w:bidi="ar"/>
              </w:rPr>
              <w:t>法律法规合规性</w:t>
            </w:r>
          </w:p>
        </w:tc>
      </w:tr>
      <w:tr w14:paraId="7A121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610" w:type="dxa"/>
            <w:vAlign w:val="center"/>
          </w:tcPr>
          <w:p w14:paraId="39A5A913">
            <w:pPr>
              <w:keepNext w:val="0"/>
              <w:keepLines w:val="0"/>
              <w:pageBreakBefore w:val="0"/>
              <w:widowControl w:val="0"/>
              <w:kinsoku/>
              <w:wordWrap/>
              <w:overflowPunct/>
              <w:topLinePunct w:val="0"/>
              <w:autoSpaceDE w:val="0"/>
              <w:autoSpaceDN w:val="0"/>
              <w:bidi w:val="0"/>
              <w:adjustRightInd/>
              <w:spacing w:line="320" w:lineRule="exact"/>
              <w:textAlignment w:val="auto"/>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1</w:t>
            </w:r>
          </w:p>
        </w:tc>
        <w:tc>
          <w:tcPr>
            <w:tcW w:w="1702" w:type="dxa"/>
            <w:vMerge w:val="restart"/>
            <w:vAlign w:val="center"/>
          </w:tcPr>
          <w:p w14:paraId="2EE2E2BB">
            <w:pPr>
              <w:keepNext w:val="0"/>
              <w:keepLines w:val="0"/>
              <w:pageBreakBefore w:val="0"/>
              <w:widowControl w:val="0"/>
              <w:kinsoku/>
              <w:wordWrap/>
              <w:overflowPunct/>
              <w:topLinePunct w:val="0"/>
              <w:autoSpaceDE w:val="0"/>
              <w:autoSpaceDN w:val="0"/>
              <w:bidi w:val="0"/>
              <w:adjustRightInd/>
              <w:spacing w:line="320" w:lineRule="exact"/>
              <w:textAlignment w:val="auto"/>
              <w:rPr>
                <w:rFonts w:ascii="宋体" w:hAnsi="宋体"/>
                <w:color w:val="auto"/>
                <w:sz w:val="24"/>
                <w:szCs w:val="24"/>
                <w:highlight w:val="none"/>
              </w:rPr>
            </w:pPr>
            <w:r>
              <w:rPr>
                <w:rFonts w:hint="eastAsia" w:ascii="宋体" w:hAnsi="宋体"/>
                <w:color w:val="auto"/>
                <w:sz w:val="24"/>
                <w:szCs w:val="24"/>
                <w:highlight w:val="none"/>
              </w:rPr>
              <w:t>合规性审核</w:t>
            </w:r>
          </w:p>
        </w:tc>
        <w:tc>
          <w:tcPr>
            <w:tcW w:w="7138" w:type="dxa"/>
            <w:vAlign w:val="center"/>
          </w:tcPr>
          <w:p w14:paraId="769C1377">
            <w:pPr>
              <w:keepNext w:val="0"/>
              <w:keepLines w:val="0"/>
              <w:pageBreakBefore w:val="0"/>
              <w:widowControl/>
              <w:kinsoku/>
              <w:wordWrap/>
              <w:overflowPunct/>
              <w:topLinePunct w:val="0"/>
              <w:bidi w:val="0"/>
              <w:adjustRightInd/>
              <w:snapToGrid/>
              <w:spacing w:line="320" w:lineRule="exact"/>
              <w:jc w:val="both"/>
              <w:textAlignment w:val="auto"/>
              <w:rPr>
                <w:rFonts w:ascii="宋体" w:hAnsi="宋体"/>
                <w:color w:val="0000FF"/>
                <w:sz w:val="24"/>
                <w:szCs w:val="24"/>
                <w:highlight w:val="none"/>
              </w:rPr>
            </w:pPr>
            <w:r>
              <w:rPr>
                <w:rFonts w:hint="eastAsia" w:ascii="宋体" w:hAnsi="宋体" w:eastAsia="宋体" w:cs="宋体"/>
                <w:color w:val="0000FF"/>
                <w:sz w:val="24"/>
                <w:szCs w:val="24"/>
                <w:highlight w:val="none"/>
              </w:rPr>
              <w:t>有与其经营范围相适应的质量管理机构和人员</w:t>
            </w:r>
            <w:r>
              <w:rPr>
                <w:rFonts w:hint="eastAsia" w:ascii="宋体" w:hAnsi="宋体" w:eastAsia="宋体" w:cs="宋体"/>
                <w:color w:val="0000FF"/>
                <w:sz w:val="24"/>
                <w:szCs w:val="24"/>
                <w:highlight w:val="none"/>
                <w:lang w:eastAsia="zh-CN"/>
              </w:rPr>
              <w:t>。</w:t>
            </w:r>
          </w:p>
        </w:tc>
        <w:tc>
          <w:tcPr>
            <w:tcW w:w="4888" w:type="dxa"/>
            <w:vAlign w:val="center"/>
          </w:tcPr>
          <w:p w14:paraId="69EEF33A">
            <w:pPr>
              <w:keepNext w:val="0"/>
              <w:keepLines w:val="0"/>
              <w:pageBreakBefore w:val="0"/>
              <w:widowControl/>
              <w:kinsoku/>
              <w:wordWrap/>
              <w:overflowPunct/>
              <w:topLinePunct w:val="0"/>
              <w:bidi w:val="0"/>
              <w:adjustRightInd/>
              <w:snapToGrid/>
              <w:spacing w:line="320" w:lineRule="exact"/>
              <w:jc w:val="both"/>
              <w:textAlignment w:val="auto"/>
              <w:rPr>
                <w:color w:val="0000FF"/>
                <w:sz w:val="24"/>
                <w:szCs w:val="24"/>
                <w:highlight w:val="none"/>
              </w:rPr>
            </w:pPr>
            <w:r>
              <w:rPr>
                <w:rFonts w:hint="eastAsia" w:ascii="宋体" w:hAnsi="宋体" w:eastAsia="宋体" w:cs="宋体"/>
                <w:color w:val="0000FF"/>
                <w:sz w:val="24"/>
                <w:szCs w:val="24"/>
                <w:highlight w:val="none"/>
              </w:rPr>
              <w:t>查阅是否有与其经营范围相适应的质量管理机构和人员</w:t>
            </w:r>
            <w:r>
              <w:rPr>
                <w:rFonts w:hint="eastAsia" w:ascii="宋体" w:hAnsi="宋体" w:eastAsia="宋体" w:cs="宋体"/>
                <w:color w:val="0000FF"/>
                <w:sz w:val="24"/>
                <w:szCs w:val="24"/>
                <w:highlight w:val="none"/>
                <w:lang w:eastAsia="zh-CN"/>
              </w:rPr>
              <w:t>。</w:t>
            </w:r>
          </w:p>
        </w:tc>
      </w:tr>
      <w:tr w14:paraId="7D7FB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610" w:type="dxa"/>
            <w:vAlign w:val="center"/>
          </w:tcPr>
          <w:p w14:paraId="299DCACC">
            <w:pPr>
              <w:keepNext w:val="0"/>
              <w:keepLines w:val="0"/>
              <w:pageBreakBefore w:val="0"/>
              <w:widowControl w:val="0"/>
              <w:kinsoku/>
              <w:wordWrap/>
              <w:overflowPunct/>
              <w:topLinePunct w:val="0"/>
              <w:autoSpaceDE w:val="0"/>
              <w:autoSpaceDN w:val="0"/>
              <w:bidi w:val="0"/>
              <w:adjustRightInd/>
              <w:spacing w:line="320" w:lineRule="exact"/>
              <w:textAlignment w:val="auto"/>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2</w:t>
            </w:r>
          </w:p>
        </w:tc>
        <w:tc>
          <w:tcPr>
            <w:tcW w:w="1702" w:type="dxa"/>
            <w:vMerge w:val="continue"/>
            <w:vAlign w:val="center"/>
          </w:tcPr>
          <w:p w14:paraId="0CEF703C">
            <w:pPr>
              <w:keepNext w:val="0"/>
              <w:keepLines w:val="0"/>
              <w:pageBreakBefore w:val="0"/>
              <w:widowControl w:val="0"/>
              <w:kinsoku/>
              <w:wordWrap/>
              <w:overflowPunct/>
              <w:topLinePunct w:val="0"/>
              <w:autoSpaceDE w:val="0"/>
              <w:autoSpaceDN w:val="0"/>
              <w:bidi w:val="0"/>
              <w:adjustRightInd/>
              <w:spacing w:line="320" w:lineRule="exact"/>
              <w:textAlignment w:val="auto"/>
              <w:rPr>
                <w:rFonts w:ascii="宋体" w:hAnsi="宋体"/>
                <w:color w:val="auto"/>
                <w:sz w:val="24"/>
                <w:szCs w:val="24"/>
                <w:highlight w:val="none"/>
              </w:rPr>
            </w:pPr>
          </w:p>
        </w:tc>
        <w:tc>
          <w:tcPr>
            <w:tcW w:w="7138" w:type="dxa"/>
            <w:vAlign w:val="center"/>
          </w:tcPr>
          <w:p w14:paraId="0B71B994">
            <w:pPr>
              <w:keepNext w:val="0"/>
              <w:keepLines w:val="0"/>
              <w:pageBreakBefore w:val="0"/>
              <w:widowControl/>
              <w:kinsoku/>
              <w:wordWrap/>
              <w:overflowPunct/>
              <w:topLinePunct w:val="0"/>
              <w:bidi w:val="0"/>
              <w:adjustRightInd/>
              <w:snapToGrid/>
              <w:spacing w:line="320" w:lineRule="exact"/>
              <w:jc w:val="both"/>
              <w:textAlignment w:val="auto"/>
              <w:rPr>
                <w:rFonts w:hint="eastAsia" w:ascii="宋体" w:hAnsi="宋体" w:cs="宋体"/>
                <w:color w:val="0000FF"/>
                <w:kern w:val="0"/>
                <w:sz w:val="24"/>
                <w:szCs w:val="24"/>
                <w:highlight w:val="none"/>
                <w:lang w:bidi="ar"/>
              </w:rPr>
            </w:pPr>
            <w:r>
              <w:rPr>
                <w:rFonts w:hint="eastAsia" w:ascii="宋体" w:hAnsi="宋体" w:eastAsia="宋体" w:cs="宋体"/>
                <w:color w:val="0000FF"/>
                <w:sz w:val="24"/>
                <w:szCs w:val="24"/>
                <w:highlight w:val="none"/>
              </w:rPr>
              <w:t>有与其经营品种和规模相适应的仓库和设施设备</w:t>
            </w:r>
            <w:r>
              <w:rPr>
                <w:rFonts w:hint="eastAsia" w:ascii="宋体" w:hAnsi="宋体" w:cs="宋体"/>
                <w:color w:val="0000FF"/>
                <w:sz w:val="24"/>
                <w:szCs w:val="24"/>
                <w:highlight w:val="none"/>
                <w:lang w:eastAsia="zh-CN"/>
              </w:rPr>
              <w:t>。</w:t>
            </w:r>
          </w:p>
        </w:tc>
        <w:tc>
          <w:tcPr>
            <w:tcW w:w="4888" w:type="dxa"/>
            <w:vAlign w:val="center"/>
          </w:tcPr>
          <w:p w14:paraId="3966528E">
            <w:pPr>
              <w:keepNext w:val="0"/>
              <w:keepLines w:val="0"/>
              <w:pageBreakBefore w:val="0"/>
              <w:kinsoku/>
              <w:wordWrap/>
              <w:overflowPunct/>
              <w:topLinePunct w:val="0"/>
              <w:autoSpaceDE w:val="0"/>
              <w:autoSpaceDN w:val="0"/>
              <w:bidi w:val="0"/>
              <w:adjustRightInd/>
              <w:snapToGrid/>
              <w:spacing w:line="320" w:lineRule="exact"/>
              <w:jc w:val="both"/>
              <w:textAlignment w:val="auto"/>
              <w:rPr>
                <w:color w:val="0000FF"/>
                <w:sz w:val="24"/>
                <w:szCs w:val="24"/>
                <w:highlight w:val="none"/>
              </w:rPr>
            </w:pPr>
            <w:r>
              <w:rPr>
                <w:rFonts w:hint="eastAsia" w:ascii="宋体" w:hAnsi="宋体" w:eastAsia="宋体" w:cs="宋体"/>
                <w:color w:val="0000FF"/>
                <w:sz w:val="24"/>
                <w:szCs w:val="24"/>
                <w:highlight w:val="none"/>
              </w:rPr>
              <w:t>查阅是否有与其经营品种和规模相适应的仓库和设施设备</w:t>
            </w:r>
            <w:r>
              <w:rPr>
                <w:rFonts w:hint="eastAsia" w:ascii="宋体" w:hAnsi="宋体" w:cs="宋体"/>
                <w:color w:val="0000FF"/>
                <w:sz w:val="24"/>
                <w:szCs w:val="24"/>
                <w:highlight w:val="none"/>
                <w:lang w:eastAsia="zh-CN"/>
              </w:rPr>
              <w:t>。</w:t>
            </w:r>
          </w:p>
        </w:tc>
      </w:tr>
      <w:tr w14:paraId="553F4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10" w:type="dxa"/>
            <w:vAlign w:val="center"/>
          </w:tcPr>
          <w:p w14:paraId="40C8DBCF">
            <w:pPr>
              <w:keepNext w:val="0"/>
              <w:keepLines w:val="0"/>
              <w:pageBreakBefore w:val="0"/>
              <w:widowControl w:val="0"/>
              <w:kinsoku/>
              <w:wordWrap/>
              <w:overflowPunct/>
              <w:topLinePunct w:val="0"/>
              <w:autoSpaceDE w:val="0"/>
              <w:autoSpaceDN w:val="0"/>
              <w:bidi w:val="0"/>
              <w:adjustRightInd/>
              <w:spacing w:line="320" w:lineRule="exact"/>
              <w:textAlignment w:val="auto"/>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3</w:t>
            </w:r>
          </w:p>
        </w:tc>
        <w:tc>
          <w:tcPr>
            <w:tcW w:w="1702" w:type="dxa"/>
            <w:vMerge w:val="continue"/>
            <w:vAlign w:val="center"/>
          </w:tcPr>
          <w:p w14:paraId="7C0F4CD5">
            <w:pPr>
              <w:keepNext w:val="0"/>
              <w:keepLines w:val="0"/>
              <w:pageBreakBefore w:val="0"/>
              <w:widowControl w:val="0"/>
              <w:kinsoku/>
              <w:wordWrap/>
              <w:overflowPunct/>
              <w:topLinePunct w:val="0"/>
              <w:autoSpaceDE w:val="0"/>
              <w:autoSpaceDN w:val="0"/>
              <w:bidi w:val="0"/>
              <w:adjustRightInd/>
              <w:spacing w:line="320" w:lineRule="exact"/>
              <w:textAlignment w:val="auto"/>
              <w:rPr>
                <w:rFonts w:ascii="宋体" w:hAnsi="宋体"/>
                <w:color w:val="auto"/>
                <w:sz w:val="24"/>
                <w:szCs w:val="24"/>
                <w:highlight w:val="none"/>
              </w:rPr>
            </w:pPr>
          </w:p>
        </w:tc>
        <w:tc>
          <w:tcPr>
            <w:tcW w:w="7138" w:type="dxa"/>
            <w:vAlign w:val="center"/>
          </w:tcPr>
          <w:p w14:paraId="776BC450">
            <w:pPr>
              <w:keepNext w:val="0"/>
              <w:keepLines w:val="0"/>
              <w:pageBreakBefore w:val="0"/>
              <w:widowControl/>
              <w:kinsoku/>
              <w:wordWrap/>
              <w:overflowPunct/>
              <w:topLinePunct w:val="0"/>
              <w:bidi w:val="0"/>
              <w:adjustRightInd/>
              <w:snapToGrid/>
              <w:spacing w:line="320" w:lineRule="exact"/>
              <w:jc w:val="both"/>
              <w:textAlignment w:val="auto"/>
              <w:rPr>
                <w:rFonts w:hint="eastAsia" w:ascii="宋体" w:hAnsi="宋体" w:cs="宋体"/>
                <w:color w:val="0000FF"/>
                <w:kern w:val="0"/>
                <w:sz w:val="24"/>
                <w:szCs w:val="24"/>
                <w:highlight w:val="none"/>
                <w:lang w:bidi="ar"/>
              </w:rPr>
            </w:pPr>
            <w:r>
              <w:rPr>
                <w:rFonts w:hint="eastAsia" w:ascii="宋体" w:hAnsi="宋体" w:eastAsia="宋体" w:cs="宋体"/>
                <w:color w:val="0000FF"/>
                <w:sz w:val="24"/>
                <w:szCs w:val="24"/>
                <w:highlight w:val="none"/>
              </w:rPr>
              <w:t>有保证药品质量的质量管理制度以及覆盖药品经营、质量控制和追溯全过程的信息管理系统，并符合药品经营质量管理规范要求。</w:t>
            </w:r>
          </w:p>
        </w:tc>
        <w:tc>
          <w:tcPr>
            <w:tcW w:w="4888" w:type="dxa"/>
            <w:vAlign w:val="center"/>
          </w:tcPr>
          <w:p w14:paraId="3727AC03">
            <w:pPr>
              <w:keepNext w:val="0"/>
              <w:keepLines w:val="0"/>
              <w:pageBreakBefore w:val="0"/>
              <w:kinsoku/>
              <w:wordWrap/>
              <w:overflowPunct/>
              <w:topLinePunct w:val="0"/>
              <w:autoSpaceDE w:val="0"/>
              <w:autoSpaceDN w:val="0"/>
              <w:bidi w:val="0"/>
              <w:adjustRightInd/>
              <w:snapToGrid/>
              <w:spacing w:line="320" w:lineRule="exact"/>
              <w:jc w:val="both"/>
              <w:textAlignment w:val="auto"/>
              <w:rPr>
                <w:color w:val="0000FF"/>
                <w:sz w:val="24"/>
                <w:szCs w:val="24"/>
                <w:highlight w:val="none"/>
              </w:rPr>
            </w:pPr>
            <w:r>
              <w:rPr>
                <w:rFonts w:hint="eastAsia" w:ascii="宋体" w:hAnsi="宋体" w:eastAsia="宋体" w:cs="宋体"/>
                <w:color w:val="0000FF"/>
                <w:sz w:val="24"/>
                <w:szCs w:val="24"/>
                <w:highlight w:val="none"/>
              </w:rPr>
              <w:t>查阅是否有保证药品质量的质量管理制度以及覆盖药品经营、质量控制和追溯全过程的信息管理系统，并符合药品经营质量管理规范要求。</w:t>
            </w:r>
          </w:p>
        </w:tc>
      </w:tr>
      <w:tr w14:paraId="35460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4338" w:type="dxa"/>
            <w:gridSpan w:val="4"/>
            <w:vAlign w:val="center"/>
          </w:tcPr>
          <w:p w14:paraId="48507384">
            <w:pPr>
              <w:pStyle w:val="2"/>
              <w:keepNext w:val="0"/>
              <w:keepLines w:val="0"/>
              <w:pageBreakBefore w:val="0"/>
              <w:widowControl w:val="0"/>
              <w:kinsoku/>
              <w:wordWrap/>
              <w:overflowPunct/>
              <w:topLinePunct w:val="0"/>
              <w:bidi w:val="0"/>
              <w:adjustRightInd/>
              <w:spacing w:line="320" w:lineRule="exact"/>
              <w:textAlignment w:val="auto"/>
              <w:rPr>
                <w:color w:val="auto"/>
                <w:sz w:val="24"/>
                <w:szCs w:val="24"/>
                <w:highlight w:val="none"/>
              </w:rPr>
            </w:pPr>
            <w:r>
              <w:rPr>
                <w:rFonts w:hint="eastAsia" w:ascii="楷体" w:hAnsi="楷体" w:eastAsia="楷体" w:cs="楷体"/>
                <w:b w:val="0"/>
                <w:bCs/>
                <w:color w:val="auto"/>
                <w:sz w:val="24"/>
                <w:szCs w:val="24"/>
                <w:highlight w:val="none"/>
              </w:rPr>
              <w:t>第</w:t>
            </w:r>
            <w:r>
              <w:rPr>
                <w:rFonts w:hint="eastAsia" w:ascii="楷体" w:hAnsi="楷体" w:eastAsia="楷体" w:cs="楷体"/>
                <w:b w:val="0"/>
                <w:bCs/>
                <w:color w:val="auto"/>
                <w:sz w:val="24"/>
                <w:szCs w:val="24"/>
                <w:highlight w:val="none"/>
                <w:lang w:eastAsia="zh-CN"/>
              </w:rPr>
              <w:t>二</w:t>
            </w:r>
            <w:r>
              <w:rPr>
                <w:rFonts w:hint="eastAsia" w:ascii="楷体" w:hAnsi="楷体" w:eastAsia="楷体" w:cs="楷体"/>
                <w:b w:val="0"/>
                <w:bCs/>
                <w:color w:val="auto"/>
                <w:sz w:val="24"/>
                <w:szCs w:val="24"/>
                <w:highlight w:val="none"/>
              </w:rPr>
              <w:t>部分</w:t>
            </w:r>
            <w:r>
              <w:rPr>
                <w:rFonts w:hint="eastAsia" w:ascii="楷体" w:hAnsi="楷体" w:eastAsia="楷体" w:cs="楷体"/>
                <w:b w:val="0"/>
                <w:bCs/>
                <w:color w:val="auto"/>
                <w:sz w:val="24"/>
                <w:szCs w:val="24"/>
                <w:highlight w:val="none"/>
                <w:lang w:val="en-US" w:eastAsia="zh-CN"/>
              </w:rPr>
              <w:t>　血液制品管理条例及</w:t>
            </w:r>
            <w:r>
              <w:rPr>
                <w:rFonts w:hint="eastAsia" w:ascii="楷体" w:hAnsi="楷体" w:eastAsia="楷体" w:cs="楷体"/>
                <w:b w:val="0"/>
                <w:bCs/>
                <w:color w:val="auto"/>
                <w:sz w:val="24"/>
                <w:szCs w:val="24"/>
                <w:highlight w:val="none"/>
              </w:rPr>
              <w:t>药品经营质量管理规范符合性</w:t>
            </w:r>
          </w:p>
        </w:tc>
      </w:tr>
      <w:tr w14:paraId="650D7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10" w:type="dxa"/>
            <w:vAlign w:val="center"/>
          </w:tcPr>
          <w:p w14:paraId="4BBBB248">
            <w:pPr>
              <w:keepNext w:val="0"/>
              <w:keepLines w:val="0"/>
              <w:pageBreakBefore w:val="0"/>
              <w:widowControl w:val="0"/>
              <w:kinsoku/>
              <w:wordWrap/>
              <w:overflowPunct/>
              <w:topLinePunct w:val="0"/>
              <w:autoSpaceDE w:val="0"/>
              <w:autoSpaceDN w:val="0"/>
              <w:bidi w:val="0"/>
              <w:adjustRightInd/>
              <w:spacing w:line="320" w:lineRule="exact"/>
              <w:jc w:val="both"/>
              <w:textAlignment w:val="auto"/>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1</w:t>
            </w:r>
          </w:p>
        </w:tc>
        <w:tc>
          <w:tcPr>
            <w:tcW w:w="1702" w:type="dxa"/>
            <w:vAlign w:val="center"/>
          </w:tcPr>
          <w:p w14:paraId="5C033FDA">
            <w:pPr>
              <w:keepNext w:val="0"/>
              <w:keepLines w:val="0"/>
              <w:pageBreakBefore w:val="0"/>
              <w:widowControl w:val="0"/>
              <w:kinsoku/>
              <w:wordWrap/>
              <w:overflowPunct/>
              <w:topLinePunct w:val="0"/>
              <w:autoSpaceDE w:val="0"/>
              <w:autoSpaceDN w:val="0"/>
              <w:bidi w:val="0"/>
              <w:adjustRightInd/>
              <w:spacing w:line="320" w:lineRule="exact"/>
              <w:jc w:val="both"/>
              <w:textAlignment w:val="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人员</w:t>
            </w:r>
          </w:p>
        </w:tc>
        <w:tc>
          <w:tcPr>
            <w:tcW w:w="7138" w:type="dxa"/>
            <w:vAlign w:val="center"/>
          </w:tcPr>
          <w:p w14:paraId="0023C6EF">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企业应当对各岗位人员进行与其职责和工作内容相关的岗前培训和继续培训，以符合《规范》的要求。</w:t>
            </w:r>
          </w:p>
        </w:tc>
        <w:tc>
          <w:tcPr>
            <w:tcW w:w="4888" w:type="dxa"/>
            <w:vAlign w:val="center"/>
          </w:tcPr>
          <w:p w14:paraId="522E2B09">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1.企业培训应当包括岗前培训和继续培训；</w:t>
            </w:r>
          </w:p>
          <w:p w14:paraId="728C363F">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2.企业员工上岗前应当接受</w:t>
            </w:r>
            <w:r>
              <w:rPr>
                <w:rFonts w:hint="eastAsia" w:ascii="宋体" w:hAnsi="宋体" w:cs="宋体"/>
                <w:color w:val="auto"/>
                <w:sz w:val="24"/>
                <w:szCs w:val="24"/>
                <w:highlight w:val="none"/>
                <w:lang w:eastAsia="zh-CN"/>
              </w:rPr>
              <w:t>血液制品相关内容</w:t>
            </w:r>
            <w:r>
              <w:rPr>
                <w:rFonts w:hint="eastAsia" w:ascii="宋体" w:hAnsi="宋体" w:eastAsia="宋体" w:cs="宋体"/>
                <w:color w:val="auto"/>
                <w:sz w:val="24"/>
                <w:szCs w:val="24"/>
                <w:highlight w:val="none"/>
              </w:rPr>
              <w:t>培训，符合岗位要求后方可上岗履行职责；查询是否有培训记录（包括时间、内容、考核结果），确认所有岗位人员均完成培训并通过考核。</w:t>
            </w:r>
          </w:p>
          <w:p w14:paraId="1B2089D5">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eastAsia="zh-CN"/>
              </w:rPr>
              <w:t>3.</w:t>
            </w:r>
            <w:r>
              <w:rPr>
                <w:rFonts w:hint="eastAsia" w:ascii="宋体" w:hAnsi="宋体" w:eastAsia="宋体" w:cs="宋体"/>
                <w:color w:val="auto"/>
                <w:sz w:val="24"/>
                <w:szCs w:val="24"/>
                <w:highlight w:val="none"/>
              </w:rPr>
              <w:t>随机抽取员工进行现场问答或操作演示，验证培训效果。</w:t>
            </w:r>
          </w:p>
        </w:tc>
      </w:tr>
      <w:tr w14:paraId="0C0DE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0" w:type="auto"/>
            <w:vAlign w:val="center"/>
          </w:tcPr>
          <w:p w14:paraId="2E6405F9">
            <w:pPr>
              <w:keepNext w:val="0"/>
              <w:keepLines w:val="0"/>
              <w:pageBreakBefore w:val="0"/>
              <w:widowControl w:val="0"/>
              <w:kinsoku/>
              <w:wordWrap/>
              <w:overflowPunct/>
              <w:topLinePunct w:val="0"/>
              <w:autoSpaceDE w:val="0"/>
              <w:autoSpaceDN w:val="0"/>
              <w:bidi w:val="0"/>
              <w:adjustRightInd/>
              <w:spacing w:line="320" w:lineRule="exact"/>
              <w:jc w:val="both"/>
              <w:textAlignment w:val="auto"/>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2</w:t>
            </w:r>
          </w:p>
        </w:tc>
        <w:tc>
          <w:tcPr>
            <w:tcW w:w="1702" w:type="dxa"/>
            <w:vAlign w:val="center"/>
          </w:tcPr>
          <w:p w14:paraId="60A5A07E">
            <w:pPr>
              <w:keepNext w:val="0"/>
              <w:keepLines w:val="0"/>
              <w:pageBreakBefore w:val="0"/>
              <w:widowControl w:val="0"/>
              <w:kinsoku/>
              <w:wordWrap/>
              <w:overflowPunct/>
              <w:topLinePunct w:val="0"/>
              <w:autoSpaceDE w:val="0"/>
              <w:autoSpaceDN w:val="0"/>
              <w:bidi w:val="0"/>
              <w:adjustRightInd/>
              <w:spacing w:line="320" w:lineRule="exact"/>
              <w:jc w:val="both"/>
              <w:textAlignment w:val="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制度</w:t>
            </w:r>
          </w:p>
        </w:tc>
        <w:tc>
          <w:tcPr>
            <w:tcW w:w="7138" w:type="dxa"/>
            <w:vAlign w:val="center"/>
          </w:tcPr>
          <w:p w14:paraId="2DC74A74">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质量管理制度应当包括以下内容：</w:t>
            </w:r>
          </w:p>
          <w:p w14:paraId="5FE1007F">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一）质量管理体系内审的规定；（二）质量否决权的规定；（三）质量管理文件的管理；（四）质量信息的管理；（五）供货单位、购货单位、供货单位销售人员及购货单位采购人员等资格审核的规定；（六）药品采购、收货、验收、储存、养护、销售、出库、运输的管理；（七）特殊管理的药品的规定；（八）药品有效期的管理；（九）不合格药品、药品销毁的管理；（十）药品退货的管理；（十一）药品召回的管理；（十二）质量查询的管理；（十三）质量事故、质量投诉的管理；（十四）药品不良反应报告的规定；（十五）环境卫生、人员健康的规定；（十六）质量方面的教育、培训及考核的规定；（十七）设施设备保管和维护的管理；（十八）设施设备验证和校准的管理；（十九）记录和凭证的管理；（二十）计算机系统的管理；（二十一）药品追溯的规定；（二十二）其他应当规定的内容。</w:t>
            </w:r>
          </w:p>
        </w:tc>
        <w:tc>
          <w:tcPr>
            <w:tcW w:w="4888" w:type="dxa"/>
            <w:vAlign w:val="center"/>
          </w:tcPr>
          <w:p w14:paraId="52236BDA">
            <w:pPr>
              <w:keepNext w:val="0"/>
              <w:keepLines w:val="0"/>
              <w:pageBreakBefore w:val="0"/>
              <w:numPr>
                <w:ilvl w:val="255"/>
                <w:numId w:val="0"/>
              </w:numPr>
              <w:tabs>
                <w:tab w:val="left" w:pos="251"/>
              </w:tabs>
              <w:kinsoku/>
              <w:wordWrap/>
              <w:overflowPunct/>
              <w:topLinePunct w:val="0"/>
              <w:autoSpaceDE w:val="0"/>
              <w:autoSpaceDN w:val="0"/>
              <w:bidi w:val="0"/>
              <w:adjustRightInd/>
              <w:snapToGrid w:val="0"/>
              <w:spacing w:line="320" w:lineRule="exact"/>
              <w:ind w:left="0" w:leftChars="0" w:firstLine="0" w:firstLineChars="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sz w:val="24"/>
                <w:szCs w:val="24"/>
                <w:highlight w:val="none"/>
                <w:lang w:eastAsia="zh-CN"/>
              </w:rPr>
              <w:t>1.</w:t>
            </w:r>
            <w:r>
              <w:rPr>
                <w:rFonts w:hint="eastAsia" w:ascii="宋体" w:hAnsi="宋体" w:eastAsia="宋体" w:cs="宋体"/>
                <w:color w:val="auto"/>
                <w:sz w:val="24"/>
                <w:szCs w:val="24"/>
                <w:highlight w:val="none"/>
              </w:rPr>
              <w:t>查阅企业制度，是否至少包括</w:t>
            </w:r>
            <w:r>
              <w:rPr>
                <w:rFonts w:hint="eastAsia" w:ascii="宋体" w:hAnsi="宋体" w:cs="宋体"/>
                <w:color w:val="auto"/>
                <w:sz w:val="24"/>
                <w:szCs w:val="24"/>
                <w:highlight w:val="none"/>
                <w:lang w:eastAsia="zh-CN"/>
              </w:rPr>
              <w:t>血液制品相关</w:t>
            </w:r>
            <w:r>
              <w:rPr>
                <w:rFonts w:hint="eastAsia" w:ascii="宋体" w:hAnsi="宋体" w:eastAsia="宋体" w:cs="宋体"/>
                <w:color w:val="auto"/>
                <w:sz w:val="24"/>
                <w:szCs w:val="24"/>
                <w:highlight w:val="none"/>
              </w:rPr>
              <w:t>内容。</w:t>
            </w:r>
          </w:p>
        </w:tc>
      </w:tr>
      <w:tr w14:paraId="083A6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0" w:type="auto"/>
            <w:vAlign w:val="center"/>
          </w:tcPr>
          <w:p w14:paraId="6F973FAA">
            <w:pPr>
              <w:keepNext w:val="0"/>
              <w:keepLines w:val="0"/>
              <w:pageBreakBefore w:val="0"/>
              <w:widowControl w:val="0"/>
              <w:kinsoku/>
              <w:wordWrap/>
              <w:overflowPunct/>
              <w:topLinePunct w:val="0"/>
              <w:autoSpaceDE w:val="0"/>
              <w:autoSpaceDN w:val="0"/>
              <w:bidi w:val="0"/>
              <w:adjustRightInd/>
              <w:spacing w:line="320" w:lineRule="exact"/>
              <w:jc w:val="both"/>
              <w:textAlignment w:val="auto"/>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3</w:t>
            </w:r>
          </w:p>
        </w:tc>
        <w:tc>
          <w:tcPr>
            <w:tcW w:w="1702" w:type="dxa"/>
            <w:vAlign w:val="center"/>
          </w:tcPr>
          <w:p w14:paraId="2232775E">
            <w:pPr>
              <w:keepNext w:val="0"/>
              <w:keepLines w:val="0"/>
              <w:pageBreakBefore w:val="0"/>
              <w:widowControl w:val="0"/>
              <w:kinsoku/>
              <w:wordWrap/>
              <w:overflowPunct/>
              <w:topLinePunct w:val="0"/>
              <w:autoSpaceDE w:val="0"/>
              <w:autoSpaceDN w:val="0"/>
              <w:bidi w:val="0"/>
              <w:adjustRightInd/>
              <w:spacing w:line="320" w:lineRule="exact"/>
              <w:jc w:val="both"/>
              <w:textAlignment w:val="auto"/>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设施设备</w:t>
            </w:r>
          </w:p>
        </w:tc>
        <w:tc>
          <w:tcPr>
            <w:tcW w:w="7138" w:type="dxa"/>
            <w:vAlign w:val="center"/>
          </w:tcPr>
          <w:p w14:paraId="4D3F8B1B">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具备与所经营的产品相适应的冷藏条件。</w:t>
            </w:r>
          </w:p>
        </w:tc>
        <w:tc>
          <w:tcPr>
            <w:tcW w:w="4888" w:type="dxa"/>
            <w:vAlign w:val="center"/>
          </w:tcPr>
          <w:p w14:paraId="27555EFE">
            <w:pPr>
              <w:keepNext w:val="0"/>
              <w:keepLines w:val="0"/>
              <w:pageBreakBefore w:val="0"/>
              <w:numPr>
                <w:ilvl w:val="255"/>
                <w:numId w:val="0"/>
              </w:numPr>
              <w:tabs>
                <w:tab w:val="left" w:pos="251"/>
              </w:tabs>
              <w:kinsoku/>
              <w:wordWrap/>
              <w:overflowPunct/>
              <w:topLinePunct w:val="0"/>
              <w:autoSpaceDE w:val="0"/>
              <w:autoSpaceDN w:val="0"/>
              <w:bidi w:val="0"/>
              <w:adjustRightInd/>
              <w:snapToGrid w:val="0"/>
              <w:spacing w:line="320" w:lineRule="exact"/>
              <w:ind w:left="0" w:leftChars="0" w:firstLine="0" w:firstLineChars="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检查企业冷藏设施设备是否符合规范要求。</w:t>
            </w:r>
          </w:p>
        </w:tc>
      </w:tr>
    </w:tbl>
    <w:p w14:paraId="472D61EB">
      <w:pPr>
        <w:rPr>
          <w:rFonts w:hint="eastAsia" w:ascii="黑体" w:eastAsia="黑体"/>
          <w:color w:val="auto"/>
          <w:sz w:val="32"/>
          <w:szCs w:val="32"/>
          <w:highlight w:val="none"/>
        </w:rPr>
      </w:pPr>
      <w:r>
        <w:rPr>
          <w:rFonts w:hint="eastAsia" w:ascii="黑体" w:eastAsia="黑体"/>
          <w:color w:val="auto"/>
          <w:sz w:val="32"/>
          <w:szCs w:val="32"/>
          <w:highlight w:val="none"/>
        </w:rPr>
        <w:br w:type="page"/>
      </w:r>
    </w:p>
    <w:p w14:paraId="17990687">
      <w:pPr>
        <w:rPr>
          <w:rFonts w:hint="eastAsia"/>
          <w:color w:val="auto"/>
          <w:sz w:val="32"/>
          <w:szCs w:val="32"/>
          <w:highlight w:val="none"/>
        </w:rPr>
      </w:pPr>
      <w:r>
        <w:rPr>
          <w:rFonts w:hint="eastAsia" w:ascii="方正小标宋_GBK" w:hAnsi="方正小标宋_GBK" w:eastAsia="方正小标宋_GBK" w:cs="方正小标宋_GBK"/>
          <w:color w:val="auto"/>
          <w:sz w:val="32"/>
          <w:szCs w:val="32"/>
          <w:highlight w:val="none"/>
          <w:lang w:eastAsia="zh-CN"/>
        </w:rPr>
        <w:t>细胞治疗类生物制品</w:t>
      </w:r>
      <w:r>
        <w:rPr>
          <w:rFonts w:hint="eastAsia" w:ascii="方正小标宋_GBK" w:hAnsi="方正小标宋_GBK" w:eastAsia="方正小标宋_GBK" w:cs="方正小标宋_GBK"/>
          <w:color w:val="auto"/>
          <w:sz w:val="32"/>
          <w:szCs w:val="32"/>
          <w:highlight w:val="none"/>
        </w:rPr>
        <w:t>经营范围</w:t>
      </w:r>
    </w:p>
    <w:p w14:paraId="2ECB67CF">
      <w:pPr>
        <w:pStyle w:val="2"/>
        <w:rPr>
          <w:color w:val="auto"/>
          <w:sz w:val="24"/>
          <w:szCs w:val="24"/>
          <w:highlight w:val="none"/>
        </w:rPr>
      </w:pPr>
    </w:p>
    <w:tbl>
      <w:tblPr>
        <w:tblStyle w:val="11"/>
        <w:tblW w:w="14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690"/>
        <w:gridCol w:w="4905"/>
        <w:gridCol w:w="7140"/>
      </w:tblGrid>
      <w:tr w14:paraId="0C76C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610" w:type="dxa"/>
            <w:shd w:val="clear" w:color="auto" w:fill="auto"/>
            <w:vAlign w:val="center"/>
          </w:tcPr>
          <w:p w14:paraId="5883CA8B">
            <w:pPr>
              <w:keepNext w:val="0"/>
              <w:keepLines w:val="0"/>
              <w:pageBreakBefore w:val="0"/>
              <w:kinsoku/>
              <w:wordWrap/>
              <w:overflowPunct/>
              <w:topLinePunct w:val="0"/>
              <w:autoSpaceDE w:val="0"/>
              <w:autoSpaceDN w:val="0"/>
              <w:bidi w:val="0"/>
              <w:adjustRightInd/>
              <w:spacing w:line="320" w:lineRule="exact"/>
              <w:textAlignment w:val="auto"/>
              <w:rPr>
                <w:rFonts w:hint="eastAsia" w:ascii="黑体" w:hAnsi="黑体" w:eastAsia="黑体" w:cs="黑体"/>
                <w:b w:val="0"/>
                <w:bCs w:val="0"/>
                <w:color w:val="auto"/>
                <w:kern w:val="2"/>
                <w:sz w:val="24"/>
                <w:szCs w:val="24"/>
                <w:highlight w:val="none"/>
                <w:lang w:val="en-US" w:eastAsia="zh-CN" w:bidi="ar-SA"/>
              </w:rPr>
            </w:pPr>
            <w:r>
              <w:rPr>
                <w:rFonts w:hint="eastAsia" w:ascii="黑体" w:hAnsi="黑体" w:eastAsia="黑体" w:cs="黑体"/>
                <w:b w:val="0"/>
                <w:bCs w:val="0"/>
                <w:color w:val="auto"/>
                <w:sz w:val="24"/>
                <w:szCs w:val="24"/>
                <w:highlight w:val="none"/>
              </w:rPr>
              <w:t>序号</w:t>
            </w:r>
          </w:p>
        </w:tc>
        <w:tc>
          <w:tcPr>
            <w:tcW w:w="1690" w:type="dxa"/>
            <w:shd w:val="clear" w:color="auto" w:fill="auto"/>
            <w:vAlign w:val="center"/>
          </w:tcPr>
          <w:p w14:paraId="3B9F3B22">
            <w:pPr>
              <w:keepNext w:val="0"/>
              <w:keepLines w:val="0"/>
              <w:pageBreakBefore w:val="0"/>
              <w:kinsoku/>
              <w:wordWrap/>
              <w:overflowPunct/>
              <w:topLinePunct w:val="0"/>
              <w:autoSpaceDE w:val="0"/>
              <w:autoSpaceDN w:val="0"/>
              <w:bidi w:val="0"/>
              <w:adjustRightInd/>
              <w:spacing w:line="320" w:lineRule="exact"/>
              <w:jc w:val="center"/>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黑体" w:hAnsi="黑体" w:eastAsia="黑体" w:cs="黑体"/>
                <w:b w:val="0"/>
                <w:bCs w:val="0"/>
                <w:color w:val="auto"/>
                <w:sz w:val="24"/>
                <w:szCs w:val="24"/>
                <w:highlight w:val="none"/>
                <w:lang w:eastAsia="zh-CN"/>
              </w:rPr>
              <w:t>内容</w:t>
            </w:r>
          </w:p>
        </w:tc>
        <w:tc>
          <w:tcPr>
            <w:tcW w:w="4905" w:type="dxa"/>
            <w:shd w:val="clear" w:color="auto" w:fill="auto"/>
            <w:vAlign w:val="center"/>
          </w:tcPr>
          <w:p w14:paraId="5A35E159">
            <w:pPr>
              <w:keepNext w:val="0"/>
              <w:keepLines w:val="0"/>
              <w:pageBreakBefore w:val="0"/>
              <w:kinsoku/>
              <w:wordWrap/>
              <w:overflowPunct/>
              <w:topLinePunct w:val="0"/>
              <w:autoSpaceDE w:val="0"/>
              <w:autoSpaceDN w:val="0"/>
              <w:bidi w:val="0"/>
              <w:adjustRightInd/>
              <w:spacing w:line="320" w:lineRule="exact"/>
              <w:jc w:val="center"/>
              <w:textAlignment w:val="auto"/>
              <w:rPr>
                <w:rFonts w:hint="eastAsia" w:ascii="黑体" w:hAnsi="黑体" w:eastAsia="黑体" w:cs="黑体"/>
                <w:b w:val="0"/>
                <w:bCs w:val="0"/>
                <w:color w:val="auto"/>
                <w:kern w:val="2"/>
                <w:sz w:val="24"/>
                <w:szCs w:val="24"/>
                <w:highlight w:val="none"/>
                <w:lang w:val="en-US" w:eastAsia="zh-CN" w:bidi="ar-SA"/>
              </w:rPr>
            </w:pPr>
            <w:r>
              <w:rPr>
                <w:rFonts w:hint="eastAsia" w:ascii="黑体" w:hAnsi="黑体" w:eastAsia="黑体" w:cs="黑体"/>
                <w:b w:val="0"/>
                <w:bCs w:val="0"/>
                <w:color w:val="auto"/>
                <w:sz w:val="24"/>
                <w:szCs w:val="24"/>
                <w:highlight w:val="none"/>
              </w:rPr>
              <w:t>检查项目</w:t>
            </w:r>
          </w:p>
        </w:tc>
        <w:tc>
          <w:tcPr>
            <w:tcW w:w="7140" w:type="dxa"/>
            <w:shd w:val="clear" w:color="auto" w:fill="auto"/>
            <w:vAlign w:val="center"/>
          </w:tcPr>
          <w:p w14:paraId="12A06440">
            <w:pPr>
              <w:keepNext w:val="0"/>
              <w:keepLines w:val="0"/>
              <w:pageBreakBefore w:val="0"/>
              <w:kinsoku/>
              <w:wordWrap/>
              <w:overflowPunct/>
              <w:topLinePunct w:val="0"/>
              <w:autoSpaceDE w:val="0"/>
              <w:autoSpaceDN w:val="0"/>
              <w:bidi w:val="0"/>
              <w:adjustRightInd/>
              <w:spacing w:line="320" w:lineRule="exact"/>
              <w:jc w:val="center"/>
              <w:textAlignment w:val="auto"/>
              <w:rPr>
                <w:rFonts w:hint="eastAsia" w:ascii="黑体" w:hAnsi="黑体" w:eastAsia="黑体" w:cs="黑体"/>
                <w:b w:val="0"/>
                <w:bCs w:val="0"/>
                <w:color w:val="auto"/>
                <w:kern w:val="2"/>
                <w:sz w:val="24"/>
                <w:szCs w:val="24"/>
                <w:highlight w:val="none"/>
                <w:lang w:val="en-US" w:eastAsia="zh-CN" w:bidi="ar-SA"/>
              </w:rPr>
            </w:pPr>
            <w:r>
              <w:rPr>
                <w:rFonts w:hint="eastAsia" w:ascii="黑体" w:hAnsi="黑体" w:eastAsia="黑体" w:cs="黑体"/>
                <w:b w:val="0"/>
                <w:bCs w:val="0"/>
                <w:color w:val="auto"/>
                <w:sz w:val="24"/>
                <w:szCs w:val="24"/>
                <w:highlight w:val="none"/>
              </w:rPr>
              <w:t>检查细则</w:t>
            </w:r>
          </w:p>
        </w:tc>
      </w:tr>
      <w:tr w14:paraId="32D55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4345" w:type="dxa"/>
            <w:gridSpan w:val="4"/>
            <w:vAlign w:val="center"/>
          </w:tcPr>
          <w:p w14:paraId="7D8EDAA4">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r>
              <w:rPr>
                <w:rFonts w:hint="eastAsia" w:ascii="楷体" w:hAnsi="楷体" w:eastAsia="楷体" w:cs="楷体"/>
                <w:b w:val="0"/>
                <w:bCs/>
                <w:color w:val="auto"/>
                <w:sz w:val="24"/>
                <w:szCs w:val="24"/>
                <w:highlight w:val="none"/>
              </w:rPr>
              <w:t>第一部分</w:t>
            </w:r>
            <w:r>
              <w:rPr>
                <w:rFonts w:hint="eastAsia" w:ascii="楷体" w:hAnsi="楷体" w:eastAsia="楷体" w:cs="楷体"/>
                <w:b w:val="0"/>
                <w:bCs/>
                <w:color w:val="auto"/>
                <w:sz w:val="24"/>
                <w:szCs w:val="24"/>
                <w:highlight w:val="none"/>
                <w:lang w:val="en-US" w:eastAsia="zh-CN"/>
              </w:rPr>
              <w:t>　</w:t>
            </w:r>
            <w:r>
              <w:rPr>
                <w:rFonts w:hint="eastAsia" w:ascii="楷体" w:hAnsi="楷体" w:eastAsia="楷体" w:cs="楷体"/>
                <w:b w:val="0"/>
                <w:bCs/>
                <w:color w:val="auto"/>
                <w:sz w:val="24"/>
                <w:szCs w:val="24"/>
                <w:highlight w:val="none"/>
              </w:rPr>
              <w:t>药品</w:t>
            </w:r>
            <w:r>
              <w:rPr>
                <w:rFonts w:hint="eastAsia" w:ascii="楷体" w:hAnsi="楷体" w:eastAsia="楷体" w:cs="楷体"/>
                <w:b w:val="0"/>
                <w:bCs/>
                <w:color w:val="auto"/>
                <w:kern w:val="0"/>
                <w:sz w:val="24"/>
                <w:szCs w:val="24"/>
                <w:highlight w:val="none"/>
                <w:lang w:bidi="ar"/>
              </w:rPr>
              <w:t>法律法规合规性</w:t>
            </w:r>
          </w:p>
        </w:tc>
      </w:tr>
      <w:tr w14:paraId="16B7B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610" w:type="dxa"/>
            <w:vAlign w:val="center"/>
          </w:tcPr>
          <w:p w14:paraId="3EE6D0B5">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690" w:type="dxa"/>
            <w:vMerge w:val="restart"/>
            <w:vAlign w:val="center"/>
          </w:tcPr>
          <w:p w14:paraId="7745A23A">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合规性审核</w:t>
            </w:r>
          </w:p>
        </w:tc>
        <w:tc>
          <w:tcPr>
            <w:tcW w:w="4905" w:type="dxa"/>
            <w:vAlign w:val="center"/>
          </w:tcPr>
          <w:p w14:paraId="0664F25F">
            <w:pPr>
              <w:keepNext w:val="0"/>
              <w:keepLines w:val="0"/>
              <w:pageBreakBefore w:val="0"/>
              <w:widowControl/>
              <w:kinsoku/>
              <w:wordWrap/>
              <w:overflowPunct/>
              <w:topLinePunct w:val="0"/>
              <w:bidi w:val="0"/>
              <w:adjustRightInd/>
              <w:snapToGrid/>
              <w:spacing w:line="320" w:lineRule="exact"/>
              <w:jc w:val="both"/>
              <w:textAlignment w:val="auto"/>
              <w:rPr>
                <w:rFonts w:hint="eastAsia" w:ascii="宋体" w:hAnsi="宋体" w:eastAsia="宋体" w:cs="宋体"/>
                <w:color w:val="0000FF"/>
                <w:sz w:val="24"/>
                <w:szCs w:val="24"/>
                <w:highlight w:val="none"/>
              </w:rPr>
            </w:pPr>
            <w:r>
              <w:rPr>
                <w:rFonts w:hint="eastAsia" w:ascii="宋体" w:hAnsi="宋体" w:eastAsia="宋体" w:cs="宋体"/>
                <w:color w:val="0000FF"/>
                <w:sz w:val="24"/>
                <w:szCs w:val="24"/>
                <w:highlight w:val="none"/>
              </w:rPr>
              <w:t>有与其经营范围相适应的质量管理机构和人员</w:t>
            </w:r>
            <w:r>
              <w:rPr>
                <w:rFonts w:hint="eastAsia" w:ascii="宋体" w:hAnsi="宋体" w:eastAsia="宋体" w:cs="宋体"/>
                <w:color w:val="0000FF"/>
                <w:sz w:val="24"/>
                <w:szCs w:val="24"/>
                <w:highlight w:val="none"/>
                <w:lang w:eastAsia="zh-CN"/>
              </w:rPr>
              <w:t>。</w:t>
            </w:r>
          </w:p>
        </w:tc>
        <w:tc>
          <w:tcPr>
            <w:tcW w:w="7140" w:type="dxa"/>
            <w:vAlign w:val="center"/>
          </w:tcPr>
          <w:p w14:paraId="5C164513">
            <w:pPr>
              <w:keepNext w:val="0"/>
              <w:keepLines w:val="0"/>
              <w:pageBreakBefore w:val="0"/>
              <w:widowControl/>
              <w:kinsoku/>
              <w:wordWrap/>
              <w:overflowPunct/>
              <w:topLinePunct w:val="0"/>
              <w:bidi w:val="0"/>
              <w:adjustRightInd/>
              <w:snapToGrid/>
              <w:spacing w:line="320" w:lineRule="exact"/>
              <w:jc w:val="both"/>
              <w:textAlignment w:val="auto"/>
              <w:rPr>
                <w:rFonts w:hint="eastAsia" w:ascii="宋体" w:hAnsi="宋体" w:eastAsia="宋体" w:cs="宋体"/>
                <w:color w:val="0000FF"/>
                <w:sz w:val="24"/>
                <w:szCs w:val="24"/>
                <w:highlight w:val="none"/>
              </w:rPr>
            </w:pPr>
            <w:r>
              <w:rPr>
                <w:rFonts w:hint="eastAsia" w:ascii="宋体" w:hAnsi="宋体" w:eastAsia="宋体" w:cs="宋体"/>
                <w:color w:val="0000FF"/>
                <w:sz w:val="24"/>
                <w:szCs w:val="24"/>
                <w:highlight w:val="none"/>
              </w:rPr>
              <w:t>查阅是否有与其经营范围相适应的质量管理机构和人员</w:t>
            </w:r>
            <w:r>
              <w:rPr>
                <w:rFonts w:hint="eastAsia" w:ascii="宋体" w:hAnsi="宋体" w:eastAsia="宋体" w:cs="宋体"/>
                <w:color w:val="0000FF"/>
                <w:sz w:val="24"/>
                <w:szCs w:val="24"/>
                <w:highlight w:val="none"/>
                <w:lang w:eastAsia="zh-CN"/>
              </w:rPr>
              <w:t>。</w:t>
            </w:r>
          </w:p>
        </w:tc>
      </w:tr>
      <w:tr w14:paraId="303BE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10" w:type="dxa"/>
            <w:vAlign w:val="center"/>
          </w:tcPr>
          <w:p w14:paraId="5BB6072D">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1690" w:type="dxa"/>
            <w:vMerge w:val="continue"/>
            <w:vAlign w:val="center"/>
          </w:tcPr>
          <w:p w14:paraId="167E14DE">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p>
        </w:tc>
        <w:tc>
          <w:tcPr>
            <w:tcW w:w="4905" w:type="dxa"/>
            <w:vAlign w:val="center"/>
          </w:tcPr>
          <w:p w14:paraId="3ECE7824">
            <w:pPr>
              <w:keepNext w:val="0"/>
              <w:keepLines w:val="0"/>
              <w:pageBreakBefore w:val="0"/>
              <w:widowControl/>
              <w:kinsoku/>
              <w:wordWrap/>
              <w:overflowPunct/>
              <w:topLinePunct w:val="0"/>
              <w:bidi w:val="0"/>
              <w:adjustRightInd/>
              <w:snapToGrid/>
              <w:spacing w:line="320" w:lineRule="exact"/>
              <w:jc w:val="both"/>
              <w:textAlignment w:val="auto"/>
              <w:rPr>
                <w:rFonts w:hint="eastAsia" w:ascii="宋体" w:hAnsi="宋体" w:eastAsia="宋体" w:cs="宋体"/>
                <w:color w:val="0000FF"/>
                <w:sz w:val="24"/>
                <w:szCs w:val="24"/>
                <w:highlight w:val="none"/>
              </w:rPr>
            </w:pPr>
            <w:r>
              <w:rPr>
                <w:rFonts w:hint="eastAsia" w:ascii="宋体" w:hAnsi="宋体" w:eastAsia="宋体" w:cs="宋体"/>
                <w:color w:val="0000FF"/>
                <w:sz w:val="24"/>
                <w:szCs w:val="24"/>
                <w:highlight w:val="none"/>
              </w:rPr>
              <w:t>有与其经营品种和规模相适应的仓库和设施设备</w:t>
            </w:r>
            <w:r>
              <w:rPr>
                <w:rFonts w:hint="eastAsia" w:ascii="宋体" w:hAnsi="宋体" w:cs="宋体"/>
                <w:color w:val="0000FF"/>
                <w:sz w:val="24"/>
                <w:szCs w:val="24"/>
                <w:highlight w:val="none"/>
                <w:lang w:eastAsia="zh-CN"/>
              </w:rPr>
              <w:t>。</w:t>
            </w:r>
          </w:p>
        </w:tc>
        <w:tc>
          <w:tcPr>
            <w:tcW w:w="7140" w:type="dxa"/>
            <w:vAlign w:val="center"/>
          </w:tcPr>
          <w:p w14:paraId="29DB3FEE">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0000FF"/>
                <w:sz w:val="24"/>
                <w:szCs w:val="24"/>
                <w:highlight w:val="none"/>
              </w:rPr>
            </w:pPr>
            <w:r>
              <w:rPr>
                <w:rFonts w:hint="eastAsia" w:ascii="宋体" w:hAnsi="宋体" w:eastAsia="宋体" w:cs="宋体"/>
                <w:color w:val="0000FF"/>
                <w:sz w:val="24"/>
                <w:szCs w:val="24"/>
                <w:highlight w:val="none"/>
              </w:rPr>
              <w:t>查阅是否有与其经营品种和规模相适应的仓库和设施设备</w:t>
            </w:r>
            <w:r>
              <w:rPr>
                <w:rFonts w:hint="eastAsia" w:ascii="宋体" w:hAnsi="宋体" w:cs="宋体"/>
                <w:color w:val="0000FF"/>
                <w:sz w:val="24"/>
                <w:szCs w:val="24"/>
                <w:highlight w:val="none"/>
                <w:lang w:eastAsia="zh-CN"/>
              </w:rPr>
              <w:t>。</w:t>
            </w:r>
          </w:p>
        </w:tc>
      </w:tr>
      <w:tr w14:paraId="450D4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610" w:type="dxa"/>
            <w:vAlign w:val="center"/>
          </w:tcPr>
          <w:p w14:paraId="0082045E">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690" w:type="dxa"/>
            <w:vMerge w:val="continue"/>
            <w:vAlign w:val="center"/>
          </w:tcPr>
          <w:p w14:paraId="1D3C208E">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p>
        </w:tc>
        <w:tc>
          <w:tcPr>
            <w:tcW w:w="4905" w:type="dxa"/>
            <w:vAlign w:val="center"/>
          </w:tcPr>
          <w:p w14:paraId="3A768364">
            <w:pPr>
              <w:keepNext w:val="0"/>
              <w:keepLines w:val="0"/>
              <w:pageBreakBefore w:val="0"/>
              <w:widowControl/>
              <w:kinsoku/>
              <w:wordWrap/>
              <w:overflowPunct/>
              <w:topLinePunct w:val="0"/>
              <w:bidi w:val="0"/>
              <w:adjustRightInd/>
              <w:snapToGrid/>
              <w:spacing w:line="320" w:lineRule="exact"/>
              <w:jc w:val="both"/>
              <w:textAlignment w:val="auto"/>
              <w:rPr>
                <w:rFonts w:hint="eastAsia" w:ascii="宋体" w:hAnsi="宋体" w:eastAsia="宋体" w:cs="宋体"/>
                <w:color w:val="0000FF"/>
                <w:sz w:val="24"/>
                <w:szCs w:val="24"/>
                <w:highlight w:val="none"/>
              </w:rPr>
            </w:pPr>
            <w:r>
              <w:rPr>
                <w:rFonts w:hint="eastAsia" w:ascii="宋体" w:hAnsi="宋体" w:eastAsia="宋体" w:cs="宋体"/>
                <w:color w:val="0000FF"/>
                <w:sz w:val="24"/>
                <w:szCs w:val="24"/>
                <w:highlight w:val="none"/>
              </w:rPr>
              <w:t>有保证药品质量的质量管理制度以及覆盖药品经营、质量控制和追溯全过程的信息管理系统，并符合药品经营质量管理规范要求。</w:t>
            </w:r>
          </w:p>
        </w:tc>
        <w:tc>
          <w:tcPr>
            <w:tcW w:w="7140" w:type="dxa"/>
            <w:vAlign w:val="center"/>
          </w:tcPr>
          <w:p w14:paraId="33155942">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0000FF"/>
                <w:sz w:val="24"/>
                <w:szCs w:val="24"/>
                <w:highlight w:val="none"/>
              </w:rPr>
            </w:pPr>
            <w:r>
              <w:rPr>
                <w:rFonts w:hint="eastAsia" w:ascii="宋体" w:hAnsi="宋体" w:eastAsia="宋体" w:cs="宋体"/>
                <w:color w:val="0000FF"/>
                <w:sz w:val="24"/>
                <w:szCs w:val="24"/>
                <w:highlight w:val="none"/>
              </w:rPr>
              <w:t>查阅是否有保证药品质量的质量管理制度以及覆盖药品经营、质量控制和追溯全过程的信息管理系统，并符合药品经营质量管理规范要求。</w:t>
            </w:r>
          </w:p>
        </w:tc>
      </w:tr>
      <w:tr w14:paraId="3AE80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4345" w:type="dxa"/>
            <w:gridSpan w:val="4"/>
            <w:vAlign w:val="center"/>
          </w:tcPr>
          <w:p w14:paraId="2E3193B9">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r>
              <w:rPr>
                <w:rFonts w:hint="eastAsia" w:ascii="楷体" w:hAnsi="楷体" w:eastAsia="楷体" w:cs="楷体"/>
                <w:b w:val="0"/>
                <w:bCs/>
                <w:color w:val="auto"/>
                <w:sz w:val="24"/>
                <w:szCs w:val="24"/>
                <w:highlight w:val="none"/>
              </w:rPr>
              <w:t>第</w:t>
            </w:r>
            <w:r>
              <w:rPr>
                <w:rFonts w:hint="eastAsia" w:ascii="楷体" w:hAnsi="楷体" w:eastAsia="楷体" w:cs="楷体"/>
                <w:b w:val="0"/>
                <w:bCs/>
                <w:color w:val="auto"/>
                <w:sz w:val="24"/>
                <w:szCs w:val="24"/>
                <w:highlight w:val="none"/>
                <w:lang w:eastAsia="zh-CN"/>
              </w:rPr>
              <w:t>二</w:t>
            </w:r>
            <w:r>
              <w:rPr>
                <w:rFonts w:hint="eastAsia" w:ascii="楷体" w:hAnsi="楷体" w:eastAsia="楷体" w:cs="楷体"/>
                <w:b w:val="0"/>
                <w:bCs/>
                <w:color w:val="auto"/>
                <w:sz w:val="24"/>
                <w:szCs w:val="24"/>
                <w:highlight w:val="none"/>
              </w:rPr>
              <w:t>部分</w:t>
            </w:r>
            <w:r>
              <w:rPr>
                <w:rFonts w:hint="eastAsia" w:ascii="楷体" w:hAnsi="楷体" w:eastAsia="楷体" w:cs="楷体"/>
                <w:b w:val="0"/>
                <w:bCs/>
                <w:color w:val="auto"/>
                <w:sz w:val="24"/>
                <w:szCs w:val="24"/>
                <w:highlight w:val="none"/>
                <w:lang w:val="en-US" w:eastAsia="zh-CN"/>
              </w:rPr>
              <w:t>　</w:t>
            </w:r>
            <w:r>
              <w:rPr>
                <w:rFonts w:hint="eastAsia" w:ascii="楷体" w:hAnsi="楷体" w:eastAsia="楷体" w:cs="楷体"/>
                <w:b w:val="0"/>
                <w:bCs/>
                <w:color w:val="auto"/>
                <w:sz w:val="24"/>
                <w:szCs w:val="24"/>
                <w:highlight w:val="none"/>
              </w:rPr>
              <w:t>药品经营质量管理规范符合性</w:t>
            </w:r>
          </w:p>
        </w:tc>
      </w:tr>
      <w:tr w14:paraId="137A9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610" w:type="dxa"/>
            <w:vAlign w:val="center"/>
          </w:tcPr>
          <w:p w14:paraId="438EDB1F">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690" w:type="dxa"/>
            <w:vAlign w:val="center"/>
          </w:tcPr>
          <w:p w14:paraId="7E958BC6">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人员</w:t>
            </w:r>
          </w:p>
        </w:tc>
        <w:tc>
          <w:tcPr>
            <w:tcW w:w="4905" w:type="dxa"/>
            <w:vAlign w:val="center"/>
          </w:tcPr>
          <w:p w14:paraId="5C63FD2B">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在所属门店</w:t>
            </w:r>
            <w:r>
              <w:rPr>
                <w:rFonts w:hint="eastAsia" w:ascii="宋体" w:hAnsi="宋体" w:eastAsia="宋体" w:cs="宋体"/>
                <w:color w:val="auto"/>
                <w:sz w:val="24"/>
                <w:szCs w:val="24"/>
                <w:highlight w:val="none"/>
              </w:rPr>
              <w:t>配备1名具有临床医学、预防医学、免疫学、微生物学等专业本科及以上学历的执业药师，并经过相关产品上市许可持有人培训考核</w:t>
            </w:r>
            <w:r>
              <w:rPr>
                <w:rFonts w:hint="eastAsia" w:ascii="宋体" w:hAnsi="宋体" w:cs="宋体"/>
                <w:color w:val="auto"/>
                <w:sz w:val="24"/>
                <w:szCs w:val="24"/>
                <w:highlight w:val="none"/>
                <w:lang w:eastAsia="zh-CN"/>
              </w:rPr>
              <w:t>。</w:t>
            </w:r>
          </w:p>
        </w:tc>
        <w:tc>
          <w:tcPr>
            <w:tcW w:w="7140" w:type="dxa"/>
            <w:vAlign w:val="center"/>
          </w:tcPr>
          <w:p w14:paraId="0CC33D71">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经营细胞治疗类药品的门店需配备执业药师至少1名，配备的执业药师应当具有临床医学、预防医学、免疫学、微生物学等专业本科以上学历。</w:t>
            </w:r>
          </w:p>
          <w:p w14:paraId="54072F53">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细胞治疗药品服务团队成员须通过相关产品上市许可持有人（以下简称持有人）培训考核后取得认证资格，被认证人员需要在持有人及法规政策要求单位进行备案，承担细胞治疗药品经营及药学服务相应岗位的工作。药店对团队成员的培训、考核、认证、备案等工作实行动态管理。团队人员变更应及时向持有人和相关单位备案，接受相关培训及考核并取得认证资格。</w:t>
            </w:r>
          </w:p>
        </w:tc>
      </w:tr>
      <w:tr w14:paraId="4334C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610" w:type="dxa"/>
            <w:vAlign w:val="center"/>
          </w:tcPr>
          <w:p w14:paraId="0D38570E">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1690" w:type="dxa"/>
            <w:vMerge w:val="restart"/>
            <w:vAlign w:val="center"/>
          </w:tcPr>
          <w:p w14:paraId="1FA462C7">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设施设备</w:t>
            </w:r>
          </w:p>
        </w:tc>
        <w:tc>
          <w:tcPr>
            <w:tcW w:w="4905" w:type="dxa"/>
            <w:vAlign w:val="center"/>
          </w:tcPr>
          <w:p w14:paraId="3CDB5685">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具备产品信息化追溯能力</w:t>
            </w:r>
            <w:r>
              <w:rPr>
                <w:rFonts w:hint="eastAsia" w:ascii="宋体" w:hAnsi="宋体" w:cs="宋体"/>
                <w:color w:val="auto"/>
                <w:sz w:val="24"/>
                <w:szCs w:val="24"/>
                <w:highlight w:val="none"/>
                <w:lang w:eastAsia="zh-CN"/>
              </w:rPr>
              <w:t>。</w:t>
            </w:r>
          </w:p>
        </w:tc>
        <w:tc>
          <w:tcPr>
            <w:tcW w:w="7140" w:type="dxa"/>
            <w:vAlign w:val="center"/>
          </w:tcPr>
          <w:p w14:paraId="5BD988EE">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查看企业是否具备与经营品种相适应的质量保证能力和产品信息化追溯能力。</w:t>
            </w:r>
          </w:p>
        </w:tc>
      </w:tr>
      <w:tr w14:paraId="1A6E1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610" w:type="dxa"/>
            <w:vAlign w:val="center"/>
          </w:tcPr>
          <w:p w14:paraId="16FC888D">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690" w:type="dxa"/>
            <w:vMerge w:val="continue"/>
            <w:vAlign w:val="center"/>
          </w:tcPr>
          <w:p w14:paraId="28EB50C2">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p>
        </w:tc>
        <w:tc>
          <w:tcPr>
            <w:tcW w:w="4905" w:type="dxa"/>
            <w:vAlign w:val="center"/>
          </w:tcPr>
          <w:p w14:paraId="5D9F5BF0">
            <w:pPr>
              <w:keepNext w:val="0"/>
              <w:keepLines w:val="0"/>
              <w:pageBreakBefore w:val="0"/>
              <w:widowControl/>
              <w:kinsoku/>
              <w:wordWrap/>
              <w:overflowPunct/>
              <w:topLinePunct w:val="0"/>
              <w:bidi w:val="0"/>
              <w:adjustRightInd/>
              <w:snapToGrid/>
              <w:spacing w:line="320" w:lineRule="exac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具备与指定医疗机构电子处方信息互联互通的条件</w:t>
            </w:r>
            <w:r>
              <w:rPr>
                <w:rFonts w:hint="eastAsia" w:ascii="宋体" w:hAnsi="宋体" w:cs="宋体"/>
                <w:color w:val="auto"/>
                <w:sz w:val="24"/>
                <w:szCs w:val="24"/>
                <w:highlight w:val="none"/>
                <w:lang w:eastAsia="zh-CN"/>
              </w:rPr>
              <w:t>。</w:t>
            </w:r>
          </w:p>
        </w:tc>
        <w:tc>
          <w:tcPr>
            <w:tcW w:w="7140" w:type="dxa"/>
            <w:vAlign w:val="center"/>
          </w:tcPr>
          <w:p w14:paraId="7DC32A66">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查看企业是否具备与指定医疗机构电子处方信息互联互通的条件。</w:t>
            </w:r>
          </w:p>
        </w:tc>
      </w:tr>
      <w:tr w14:paraId="4AC0A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610" w:type="dxa"/>
            <w:vAlign w:val="center"/>
          </w:tcPr>
          <w:p w14:paraId="3C291E61">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1690" w:type="dxa"/>
            <w:vAlign w:val="center"/>
          </w:tcPr>
          <w:p w14:paraId="25002889">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制度</w:t>
            </w:r>
          </w:p>
        </w:tc>
        <w:tc>
          <w:tcPr>
            <w:tcW w:w="4905" w:type="dxa"/>
            <w:vAlign w:val="center"/>
          </w:tcPr>
          <w:p w14:paraId="30ACF5A9">
            <w:pPr>
              <w:keepNext w:val="0"/>
              <w:keepLines w:val="0"/>
              <w:pageBreakBefore w:val="0"/>
              <w:widowControl/>
              <w:kinsoku/>
              <w:wordWrap/>
              <w:overflowPunct/>
              <w:topLinePunct w:val="0"/>
              <w:bidi w:val="0"/>
              <w:adjustRightInd/>
              <w:snapToGrid/>
              <w:spacing w:line="32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制定细胞治疗类生物制品管理制度和操作规程</w:t>
            </w:r>
          </w:p>
        </w:tc>
        <w:tc>
          <w:tcPr>
            <w:tcW w:w="7140" w:type="dxa"/>
            <w:vAlign w:val="center"/>
          </w:tcPr>
          <w:p w14:paraId="6E94700C">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药店应建立与经营品种相适应的质量保证体系文件（制度、职责、操作规程），建立符合细胞治疗药品要求的专项SOP并严格实施。专项SOP的内容包括但不限于采购与退货、收货与验收、存储与保管、配送与交付、风险管理等事项。</w:t>
            </w:r>
          </w:p>
          <w:p w14:paraId="2554F7DC">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每批药品的过程记录归档保存，文件内容包括但不限于患者处方、患者身份证复印件、购药协议与订单、患者付款的相关单据、随货同行单、药品检验报告、运输温度记录、药品交付签收记录、药历/患者健康档案等。</w:t>
            </w:r>
          </w:p>
          <w:p w14:paraId="0A49E027">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文件存档的保存时限为至少五年，推荐长期保存。</w:t>
            </w:r>
          </w:p>
        </w:tc>
      </w:tr>
    </w:tbl>
    <w:p w14:paraId="50281DAD">
      <w:pPr>
        <w:rPr>
          <w:rFonts w:hint="eastAsia" w:ascii="黑体" w:eastAsia="黑体"/>
          <w:color w:val="auto"/>
          <w:sz w:val="24"/>
          <w:szCs w:val="24"/>
          <w:highlight w:val="none"/>
        </w:rPr>
      </w:pPr>
      <w:r>
        <w:rPr>
          <w:rFonts w:hint="eastAsia" w:ascii="黑体" w:eastAsia="黑体"/>
          <w:color w:val="auto"/>
          <w:sz w:val="24"/>
          <w:szCs w:val="24"/>
          <w:highlight w:val="none"/>
        </w:rPr>
        <w:br w:type="page"/>
      </w:r>
    </w:p>
    <w:p w14:paraId="1966DEBA">
      <w:pPr>
        <w:rPr>
          <w:rFonts w:hint="eastAsia" w:ascii="黑体" w:eastAsia="黑体"/>
          <w:color w:val="auto"/>
          <w:sz w:val="32"/>
          <w:szCs w:val="32"/>
          <w:highlight w:val="none"/>
        </w:rPr>
      </w:pPr>
      <w:r>
        <w:rPr>
          <w:rFonts w:hint="eastAsia" w:ascii="黑体" w:eastAsia="黑体"/>
          <w:color w:val="auto"/>
          <w:sz w:val="32"/>
          <w:szCs w:val="32"/>
          <w:highlight w:val="none"/>
          <w:lang w:eastAsia="zh-CN"/>
        </w:rPr>
        <w:t>胰岛素经营</w:t>
      </w:r>
      <w:r>
        <w:rPr>
          <w:rFonts w:hint="eastAsia" w:ascii="黑体" w:eastAsia="黑体"/>
          <w:color w:val="auto"/>
          <w:sz w:val="32"/>
          <w:szCs w:val="32"/>
          <w:highlight w:val="none"/>
        </w:rPr>
        <w:t>范围</w:t>
      </w:r>
    </w:p>
    <w:p w14:paraId="691A7371">
      <w:pPr>
        <w:pStyle w:val="2"/>
        <w:rPr>
          <w:color w:val="auto"/>
          <w:sz w:val="32"/>
          <w:szCs w:val="32"/>
          <w:highlight w:val="none"/>
        </w:rPr>
      </w:pPr>
    </w:p>
    <w:tbl>
      <w:tblPr>
        <w:tblStyle w:val="11"/>
        <w:tblW w:w="14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1686"/>
        <w:gridCol w:w="4905"/>
        <w:gridCol w:w="7169"/>
      </w:tblGrid>
      <w:tr w14:paraId="02EE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614" w:type="dxa"/>
            <w:vAlign w:val="center"/>
          </w:tcPr>
          <w:p w14:paraId="04B36F90">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b/>
                <w:bCs/>
                <w:color w:val="auto"/>
                <w:sz w:val="24"/>
                <w:szCs w:val="24"/>
                <w:highlight w:val="none"/>
              </w:rPr>
            </w:pPr>
            <w:r>
              <w:rPr>
                <w:rFonts w:hint="eastAsia" w:ascii="黑体" w:hAnsi="黑体" w:eastAsia="黑体" w:cs="黑体"/>
                <w:b w:val="0"/>
                <w:bCs w:val="0"/>
                <w:color w:val="auto"/>
                <w:sz w:val="24"/>
                <w:szCs w:val="24"/>
                <w:highlight w:val="none"/>
              </w:rPr>
              <w:t>序号</w:t>
            </w:r>
          </w:p>
        </w:tc>
        <w:tc>
          <w:tcPr>
            <w:tcW w:w="1686" w:type="dxa"/>
            <w:vAlign w:val="center"/>
          </w:tcPr>
          <w:p w14:paraId="5A64DEB5">
            <w:pPr>
              <w:keepNext w:val="0"/>
              <w:keepLines w:val="0"/>
              <w:pageBreakBefore w:val="0"/>
              <w:kinsoku/>
              <w:wordWrap/>
              <w:overflowPunct/>
              <w:topLinePunct w:val="0"/>
              <w:autoSpaceDE w:val="0"/>
              <w:autoSpaceDN w:val="0"/>
              <w:bidi w:val="0"/>
              <w:adjustRightInd/>
              <w:spacing w:line="320" w:lineRule="exact"/>
              <w:jc w:val="center"/>
              <w:textAlignment w:val="auto"/>
              <w:rPr>
                <w:rFonts w:hint="eastAsia" w:ascii="宋体" w:hAnsi="宋体" w:eastAsia="宋体" w:cs="宋体"/>
                <w:b/>
                <w:bCs/>
                <w:color w:val="auto"/>
                <w:sz w:val="24"/>
                <w:szCs w:val="24"/>
                <w:highlight w:val="none"/>
              </w:rPr>
            </w:pPr>
            <w:r>
              <w:rPr>
                <w:rFonts w:hint="eastAsia" w:ascii="黑体" w:hAnsi="黑体" w:eastAsia="黑体" w:cs="黑体"/>
                <w:b w:val="0"/>
                <w:bCs w:val="0"/>
                <w:color w:val="auto"/>
                <w:sz w:val="24"/>
                <w:szCs w:val="24"/>
                <w:highlight w:val="none"/>
                <w:lang w:eastAsia="zh-CN"/>
              </w:rPr>
              <w:t>内容</w:t>
            </w:r>
          </w:p>
        </w:tc>
        <w:tc>
          <w:tcPr>
            <w:tcW w:w="4905" w:type="dxa"/>
            <w:vAlign w:val="center"/>
          </w:tcPr>
          <w:p w14:paraId="28512F56">
            <w:pPr>
              <w:keepNext w:val="0"/>
              <w:keepLines w:val="0"/>
              <w:pageBreakBefore w:val="0"/>
              <w:kinsoku/>
              <w:wordWrap/>
              <w:overflowPunct/>
              <w:topLinePunct w:val="0"/>
              <w:autoSpaceDE w:val="0"/>
              <w:autoSpaceDN w:val="0"/>
              <w:bidi w:val="0"/>
              <w:adjustRightInd/>
              <w:spacing w:line="320" w:lineRule="exact"/>
              <w:jc w:val="center"/>
              <w:textAlignment w:val="auto"/>
              <w:rPr>
                <w:rFonts w:hint="eastAsia" w:ascii="宋体" w:hAnsi="宋体" w:eastAsia="宋体" w:cs="宋体"/>
                <w:b/>
                <w:bCs/>
                <w:color w:val="auto"/>
                <w:sz w:val="24"/>
                <w:szCs w:val="24"/>
                <w:highlight w:val="none"/>
              </w:rPr>
            </w:pPr>
            <w:r>
              <w:rPr>
                <w:rFonts w:hint="eastAsia" w:ascii="黑体" w:hAnsi="黑体" w:eastAsia="黑体" w:cs="黑体"/>
                <w:b w:val="0"/>
                <w:bCs w:val="0"/>
                <w:color w:val="auto"/>
                <w:sz w:val="24"/>
                <w:szCs w:val="24"/>
                <w:highlight w:val="none"/>
              </w:rPr>
              <w:t>检查项目</w:t>
            </w:r>
          </w:p>
        </w:tc>
        <w:tc>
          <w:tcPr>
            <w:tcW w:w="7169" w:type="dxa"/>
            <w:vAlign w:val="center"/>
          </w:tcPr>
          <w:p w14:paraId="0C9BFFF3">
            <w:pPr>
              <w:keepNext w:val="0"/>
              <w:keepLines w:val="0"/>
              <w:pageBreakBefore w:val="0"/>
              <w:kinsoku/>
              <w:wordWrap/>
              <w:overflowPunct/>
              <w:topLinePunct w:val="0"/>
              <w:autoSpaceDE w:val="0"/>
              <w:autoSpaceDN w:val="0"/>
              <w:bidi w:val="0"/>
              <w:adjustRightInd/>
              <w:spacing w:line="320" w:lineRule="exact"/>
              <w:jc w:val="center"/>
              <w:textAlignment w:val="auto"/>
              <w:rPr>
                <w:rFonts w:hint="eastAsia" w:ascii="宋体" w:hAnsi="宋体" w:eastAsia="宋体" w:cs="宋体"/>
                <w:b/>
                <w:bCs/>
                <w:color w:val="auto"/>
                <w:sz w:val="24"/>
                <w:szCs w:val="24"/>
                <w:highlight w:val="none"/>
              </w:rPr>
            </w:pPr>
            <w:r>
              <w:rPr>
                <w:rFonts w:hint="eastAsia" w:ascii="黑体" w:hAnsi="黑体" w:eastAsia="黑体" w:cs="黑体"/>
                <w:b w:val="0"/>
                <w:bCs w:val="0"/>
                <w:color w:val="auto"/>
                <w:sz w:val="24"/>
                <w:szCs w:val="24"/>
                <w:highlight w:val="none"/>
              </w:rPr>
              <w:t>检查细则</w:t>
            </w:r>
          </w:p>
        </w:tc>
      </w:tr>
      <w:tr w14:paraId="69E33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374" w:type="dxa"/>
            <w:gridSpan w:val="4"/>
            <w:vAlign w:val="center"/>
          </w:tcPr>
          <w:p w14:paraId="2AB6E746">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楷体" w:hAnsi="楷体" w:eastAsia="楷体" w:cs="楷体"/>
                <w:b w:val="0"/>
                <w:bCs/>
                <w:color w:val="auto"/>
                <w:sz w:val="24"/>
                <w:szCs w:val="24"/>
                <w:highlight w:val="none"/>
              </w:rPr>
              <w:t>第一部分</w:t>
            </w:r>
            <w:r>
              <w:rPr>
                <w:rFonts w:hint="eastAsia" w:ascii="楷体" w:hAnsi="楷体" w:eastAsia="楷体" w:cs="楷体"/>
                <w:b w:val="0"/>
                <w:bCs/>
                <w:color w:val="auto"/>
                <w:sz w:val="24"/>
                <w:szCs w:val="24"/>
                <w:highlight w:val="none"/>
                <w:lang w:val="en-US" w:eastAsia="zh-CN"/>
              </w:rPr>
              <w:t>　</w:t>
            </w:r>
            <w:r>
              <w:rPr>
                <w:rFonts w:hint="eastAsia" w:ascii="楷体" w:hAnsi="楷体" w:eastAsia="楷体" w:cs="楷体"/>
                <w:b w:val="0"/>
                <w:bCs/>
                <w:color w:val="auto"/>
                <w:sz w:val="24"/>
                <w:szCs w:val="24"/>
                <w:highlight w:val="none"/>
              </w:rPr>
              <w:t>药品</w:t>
            </w:r>
            <w:r>
              <w:rPr>
                <w:rFonts w:hint="eastAsia" w:ascii="楷体" w:hAnsi="楷体" w:eastAsia="楷体" w:cs="楷体"/>
                <w:b w:val="0"/>
                <w:bCs/>
                <w:color w:val="auto"/>
                <w:kern w:val="0"/>
                <w:sz w:val="24"/>
                <w:szCs w:val="24"/>
                <w:highlight w:val="none"/>
                <w:lang w:bidi="ar"/>
              </w:rPr>
              <w:t>法律法规合规性</w:t>
            </w:r>
          </w:p>
        </w:tc>
      </w:tr>
      <w:tr w14:paraId="773CE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4" w:type="dxa"/>
            <w:vAlign w:val="center"/>
          </w:tcPr>
          <w:p w14:paraId="72F166F2">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686" w:type="dxa"/>
            <w:vMerge w:val="restart"/>
            <w:vAlign w:val="center"/>
          </w:tcPr>
          <w:p w14:paraId="689D6851">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合规性审核</w:t>
            </w:r>
          </w:p>
        </w:tc>
        <w:tc>
          <w:tcPr>
            <w:tcW w:w="4905" w:type="dxa"/>
            <w:vAlign w:val="center"/>
          </w:tcPr>
          <w:p w14:paraId="13FE8532">
            <w:pPr>
              <w:pStyle w:val="10"/>
              <w:keepNext w:val="0"/>
              <w:keepLines w:val="0"/>
              <w:pageBreakBefore w:val="0"/>
              <w:widowControl/>
              <w:shd w:val="clear" w:color="auto" w:fill="FFFFFF"/>
              <w:kinsoku/>
              <w:wordWrap/>
              <w:overflowPunct/>
              <w:topLinePunct w:val="0"/>
              <w:bidi w:val="0"/>
              <w:adjustRightInd/>
              <w:snapToGrid/>
              <w:spacing w:beforeAutospacing="0" w:afterAutospacing="0" w:line="320" w:lineRule="exact"/>
              <w:jc w:val="both"/>
              <w:textAlignment w:val="auto"/>
              <w:rPr>
                <w:rFonts w:hint="eastAsia" w:ascii="宋体" w:hAnsi="宋体" w:eastAsia="宋体" w:cs="宋体"/>
                <w:color w:val="0000FF"/>
                <w:sz w:val="24"/>
                <w:szCs w:val="24"/>
                <w:highlight w:val="none"/>
                <w:lang w:eastAsia="zh-CN"/>
              </w:rPr>
            </w:pPr>
            <w:r>
              <w:rPr>
                <w:rFonts w:hint="eastAsia" w:ascii="宋体" w:hAnsi="宋体" w:eastAsia="宋体" w:cs="宋体"/>
                <w:color w:val="0000FF"/>
                <w:kern w:val="2"/>
                <w:sz w:val="24"/>
                <w:szCs w:val="24"/>
                <w:highlight w:val="none"/>
              </w:rPr>
              <w:t>有专门的管理人员</w:t>
            </w:r>
            <w:r>
              <w:rPr>
                <w:rFonts w:hint="eastAsia" w:ascii="宋体" w:hAnsi="宋体" w:cs="宋体"/>
                <w:color w:val="0000FF"/>
                <w:kern w:val="2"/>
                <w:sz w:val="24"/>
                <w:szCs w:val="24"/>
                <w:highlight w:val="none"/>
                <w:lang w:eastAsia="zh-CN"/>
              </w:rPr>
              <w:t>。</w:t>
            </w:r>
          </w:p>
        </w:tc>
        <w:tc>
          <w:tcPr>
            <w:tcW w:w="7169" w:type="dxa"/>
            <w:vAlign w:val="center"/>
          </w:tcPr>
          <w:p w14:paraId="2A981506">
            <w:pPr>
              <w:pStyle w:val="10"/>
              <w:keepNext w:val="0"/>
              <w:keepLines w:val="0"/>
              <w:pageBreakBefore w:val="0"/>
              <w:widowControl/>
              <w:shd w:val="clear" w:color="auto" w:fill="FFFFFF"/>
              <w:kinsoku/>
              <w:wordWrap/>
              <w:overflowPunct/>
              <w:topLinePunct w:val="0"/>
              <w:bidi w:val="0"/>
              <w:adjustRightInd/>
              <w:snapToGrid/>
              <w:spacing w:beforeAutospacing="0" w:afterAutospacing="0" w:line="320" w:lineRule="exact"/>
              <w:jc w:val="both"/>
              <w:textAlignment w:val="auto"/>
              <w:rPr>
                <w:rFonts w:hint="eastAsia" w:ascii="宋体" w:hAnsi="宋体" w:eastAsia="宋体" w:cs="宋体"/>
                <w:color w:val="0000FF"/>
                <w:sz w:val="24"/>
                <w:szCs w:val="24"/>
                <w:highlight w:val="none"/>
                <w:lang w:eastAsia="zh-CN"/>
              </w:rPr>
            </w:pPr>
            <w:r>
              <w:rPr>
                <w:rFonts w:hint="eastAsia" w:ascii="宋体" w:hAnsi="宋体" w:eastAsia="宋体" w:cs="宋体"/>
                <w:color w:val="0000FF"/>
                <w:kern w:val="2"/>
                <w:sz w:val="24"/>
                <w:szCs w:val="24"/>
                <w:highlight w:val="none"/>
              </w:rPr>
              <w:t>查阅是否有专门的管理人员</w:t>
            </w:r>
            <w:r>
              <w:rPr>
                <w:rFonts w:hint="eastAsia" w:ascii="宋体" w:hAnsi="宋体" w:cs="宋体"/>
                <w:color w:val="0000FF"/>
                <w:kern w:val="2"/>
                <w:sz w:val="24"/>
                <w:szCs w:val="24"/>
                <w:highlight w:val="none"/>
                <w:lang w:eastAsia="zh-CN"/>
              </w:rPr>
              <w:t>。</w:t>
            </w:r>
          </w:p>
        </w:tc>
      </w:tr>
      <w:tr w14:paraId="17733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4" w:type="dxa"/>
            <w:vAlign w:val="center"/>
          </w:tcPr>
          <w:p w14:paraId="2DCE4C4E">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1686" w:type="dxa"/>
            <w:vMerge w:val="continue"/>
            <w:vAlign w:val="center"/>
          </w:tcPr>
          <w:p w14:paraId="4A18CCBE">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rPr>
            </w:pPr>
          </w:p>
        </w:tc>
        <w:tc>
          <w:tcPr>
            <w:tcW w:w="4905" w:type="dxa"/>
            <w:vAlign w:val="center"/>
          </w:tcPr>
          <w:p w14:paraId="6E5B8B5B">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0000FF"/>
                <w:sz w:val="24"/>
                <w:szCs w:val="24"/>
                <w:highlight w:val="none"/>
                <w:lang w:eastAsia="zh-CN"/>
              </w:rPr>
            </w:pPr>
            <w:r>
              <w:rPr>
                <w:rFonts w:hint="eastAsia" w:ascii="宋体" w:hAnsi="宋体" w:eastAsia="宋体" w:cs="宋体"/>
                <w:color w:val="0000FF"/>
                <w:kern w:val="2"/>
                <w:sz w:val="24"/>
                <w:szCs w:val="24"/>
                <w:highlight w:val="none"/>
              </w:rPr>
              <w:t>有专储仓库或者专储药柜</w:t>
            </w:r>
            <w:r>
              <w:rPr>
                <w:rFonts w:hint="eastAsia" w:ascii="宋体" w:hAnsi="宋体" w:cs="宋体"/>
                <w:color w:val="0000FF"/>
                <w:kern w:val="2"/>
                <w:sz w:val="24"/>
                <w:szCs w:val="24"/>
                <w:highlight w:val="none"/>
                <w:lang w:eastAsia="zh-CN"/>
              </w:rPr>
              <w:t>。</w:t>
            </w:r>
          </w:p>
        </w:tc>
        <w:tc>
          <w:tcPr>
            <w:tcW w:w="7169" w:type="dxa"/>
            <w:vAlign w:val="center"/>
          </w:tcPr>
          <w:p w14:paraId="519BCF4C">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0000FF"/>
                <w:sz w:val="24"/>
                <w:szCs w:val="24"/>
                <w:highlight w:val="none"/>
                <w:lang w:eastAsia="zh-CN"/>
              </w:rPr>
            </w:pPr>
            <w:r>
              <w:rPr>
                <w:rFonts w:hint="eastAsia" w:ascii="宋体" w:hAnsi="宋体" w:eastAsia="宋体" w:cs="宋体"/>
                <w:color w:val="0000FF"/>
                <w:kern w:val="2"/>
                <w:sz w:val="24"/>
                <w:szCs w:val="24"/>
                <w:highlight w:val="none"/>
              </w:rPr>
              <w:t>查阅是否有专储仓库或者专储药柜</w:t>
            </w:r>
            <w:r>
              <w:rPr>
                <w:rFonts w:hint="eastAsia" w:ascii="宋体" w:hAnsi="宋体" w:cs="宋体"/>
                <w:color w:val="0000FF"/>
                <w:kern w:val="2"/>
                <w:sz w:val="24"/>
                <w:szCs w:val="24"/>
                <w:highlight w:val="none"/>
                <w:lang w:eastAsia="zh-CN"/>
              </w:rPr>
              <w:t>。</w:t>
            </w:r>
          </w:p>
        </w:tc>
      </w:tr>
      <w:tr w14:paraId="64682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4" w:type="dxa"/>
            <w:vAlign w:val="center"/>
          </w:tcPr>
          <w:p w14:paraId="2EC20C6C">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686" w:type="dxa"/>
            <w:vMerge w:val="continue"/>
            <w:vAlign w:val="center"/>
          </w:tcPr>
          <w:p w14:paraId="6E94CBB7">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rPr>
            </w:pPr>
          </w:p>
        </w:tc>
        <w:tc>
          <w:tcPr>
            <w:tcW w:w="4905" w:type="dxa"/>
            <w:vAlign w:val="center"/>
          </w:tcPr>
          <w:p w14:paraId="55959D78">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0000FF"/>
                <w:sz w:val="24"/>
                <w:szCs w:val="24"/>
                <w:highlight w:val="none"/>
                <w:lang w:eastAsia="zh-CN"/>
              </w:rPr>
            </w:pPr>
            <w:r>
              <w:rPr>
                <w:rFonts w:hint="eastAsia" w:ascii="宋体" w:hAnsi="宋体" w:eastAsia="宋体" w:cs="宋体"/>
                <w:color w:val="0000FF"/>
                <w:kern w:val="2"/>
                <w:sz w:val="24"/>
                <w:szCs w:val="24"/>
                <w:highlight w:val="none"/>
              </w:rPr>
              <w:t>有专门的验收、检查、保管、销售和出入库登记制度</w:t>
            </w:r>
            <w:r>
              <w:rPr>
                <w:rFonts w:hint="eastAsia" w:ascii="宋体" w:hAnsi="宋体" w:cs="宋体"/>
                <w:color w:val="0000FF"/>
                <w:kern w:val="2"/>
                <w:sz w:val="24"/>
                <w:szCs w:val="24"/>
                <w:highlight w:val="none"/>
                <w:lang w:eastAsia="zh-CN"/>
              </w:rPr>
              <w:t>。</w:t>
            </w:r>
          </w:p>
        </w:tc>
        <w:tc>
          <w:tcPr>
            <w:tcW w:w="7169" w:type="dxa"/>
            <w:vAlign w:val="center"/>
          </w:tcPr>
          <w:p w14:paraId="21286A49">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0000FF"/>
                <w:sz w:val="24"/>
                <w:szCs w:val="24"/>
                <w:highlight w:val="none"/>
                <w:lang w:eastAsia="zh-CN"/>
              </w:rPr>
            </w:pPr>
            <w:r>
              <w:rPr>
                <w:rFonts w:hint="eastAsia" w:ascii="宋体" w:hAnsi="宋体" w:eastAsia="宋体" w:cs="宋体"/>
                <w:color w:val="0000FF"/>
                <w:kern w:val="2"/>
                <w:sz w:val="24"/>
                <w:szCs w:val="24"/>
                <w:highlight w:val="none"/>
              </w:rPr>
              <w:t>查阅是否有专门的验收、检查、保管、销售和出入库登记制度</w:t>
            </w:r>
            <w:r>
              <w:rPr>
                <w:rFonts w:hint="eastAsia" w:ascii="宋体" w:hAnsi="宋体" w:cs="宋体"/>
                <w:color w:val="0000FF"/>
                <w:kern w:val="2"/>
                <w:sz w:val="24"/>
                <w:szCs w:val="24"/>
                <w:highlight w:val="none"/>
                <w:lang w:eastAsia="zh-CN"/>
              </w:rPr>
              <w:t>。</w:t>
            </w:r>
          </w:p>
        </w:tc>
      </w:tr>
      <w:tr w14:paraId="422B6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4" w:type="dxa"/>
            <w:vAlign w:val="center"/>
          </w:tcPr>
          <w:p w14:paraId="2AA7B3DA">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1686" w:type="dxa"/>
            <w:vMerge w:val="continue"/>
            <w:vAlign w:val="center"/>
          </w:tcPr>
          <w:p w14:paraId="02DDB16F">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rPr>
            </w:pPr>
          </w:p>
        </w:tc>
        <w:tc>
          <w:tcPr>
            <w:tcW w:w="4905" w:type="dxa"/>
            <w:vAlign w:val="center"/>
          </w:tcPr>
          <w:p w14:paraId="5914E55C">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0000FF"/>
                <w:sz w:val="24"/>
                <w:szCs w:val="24"/>
                <w:highlight w:val="none"/>
              </w:rPr>
            </w:pPr>
            <w:r>
              <w:rPr>
                <w:rFonts w:hint="eastAsia" w:ascii="宋体" w:hAnsi="宋体" w:eastAsia="宋体" w:cs="宋体"/>
                <w:color w:val="0000FF"/>
                <w:kern w:val="2"/>
                <w:sz w:val="24"/>
                <w:szCs w:val="24"/>
                <w:highlight w:val="none"/>
              </w:rPr>
              <w:t>法律、行政法规规定的其他条件。</w:t>
            </w:r>
          </w:p>
        </w:tc>
        <w:tc>
          <w:tcPr>
            <w:tcW w:w="7169" w:type="dxa"/>
            <w:vAlign w:val="center"/>
          </w:tcPr>
          <w:p w14:paraId="67062CEC">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0000FF"/>
                <w:sz w:val="24"/>
                <w:szCs w:val="24"/>
                <w:highlight w:val="none"/>
              </w:rPr>
            </w:pPr>
            <w:r>
              <w:rPr>
                <w:rFonts w:hint="eastAsia" w:ascii="宋体" w:hAnsi="宋体" w:eastAsia="宋体" w:cs="宋体"/>
                <w:color w:val="0000FF"/>
                <w:sz w:val="24"/>
                <w:szCs w:val="24"/>
                <w:highlight w:val="none"/>
              </w:rPr>
              <w:t>查阅是否满足法律、行政法规规定的其他条件。</w:t>
            </w:r>
          </w:p>
        </w:tc>
      </w:tr>
      <w:tr w14:paraId="0B102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374" w:type="dxa"/>
            <w:gridSpan w:val="4"/>
            <w:vAlign w:val="center"/>
          </w:tcPr>
          <w:p w14:paraId="4ABF3082">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rPr>
            </w:pPr>
            <w:r>
              <w:rPr>
                <w:rFonts w:hint="eastAsia" w:ascii="楷体" w:hAnsi="楷体" w:eastAsia="楷体" w:cs="楷体"/>
                <w:b w:val="0"/>
                <w:bCs/>
                <w:color w:val="auto"/>
                <w:sz w:val="24"/>
                <w:szCs w:val="24"/>
                <w:highlight w:val="none"/>
              </w:rPr>
              <w:t>第</w:t>
            </w:r>
            <w:r>
              <w:rPr>
                <w:rFonts w:hint="eastAsia" w:ascii="楷体" w:hAnsi="楷体" w:eastAsia="楷体" w:cs="楷体"/>
                <w:b w:val="0"/>
                <w:bCs/>
                <w:color w:val="auto"/>
                <w:sz w:val="24"/>
                <w:szCs w:val="24"/>
                <w:highlight w:val="none"/>
                <w:lang w:eastAsia="zh-CN"/>
              </w:rPr>
              <w:t>二</w:t>
            </w:r>
            <w:r>
              <w:rPr>
                <w:rFonts w:hint="eastAsia" w:ascii="楷体" w:hAnsi="楷体" w:eastAsia="楷体" w:cs="楷体"/>
                <w:b w:val="0"/>
                <w:bCs/>
                <w:color w:val="auto"/>
                <w:sz w:val="24"/>
                <w:szCs w:val="24"/>
                <w:highlight w:val="none"/>
              </w:rPr>
              <w:t>部分</w:t>
            </w:r>
            <w:r>
              <w:rPr>
                <w:rFonts w:hint="eastAsia" w:ascii="楷体" w:hAnsi="楷体" w:eastAsia="楷体" w:cs="楷体"/>
                <w:b w:val="0"/>
                <w:bCs/>
                <w:color w:val="auto"/>
                <w:sz w:val="24"/>
                <w:szCs w:val="24"/>
                <w:highlight w:val="none"/>
                <w:lang w:val="en-US" w:eastAsia="zh-CN"/>
              </w:rPr>
              <w:t>　反兴奋剂条例及</w:t>
            </w:r>
            <w:r>
              <w:rPr>
                <w:rFonts w:hint="eastAsia" w:ascii="楷体" w:hAnsi="楷体" w:eastAsia="楷体" w:cs="楷体"/>
                <w:b w:val="0"/>
                <w:bCs/>
                <w:color w:val="auto"/>
                <w:sz w:val="24"/>
                <w:szCs w:val="24"/>
                <w:highlight w:val="none"/>
              </w:rPr>
              <w:t>药品经营质量管理规范符合性</w:t>
            </w:r>
          </w:p>
        </w:tc>
      </w:tr>
      <w:tr w14:paraId="55A7E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14" w:type="dxa"/>
            <w:vAlign w:val="center"/>
          </w:tcPr>
          <w:p w14:paraId="32990764">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686" w:type="dxa"/>
            <w:vAlign w:val="center"/>
          </w:tcPr>
          <w:p w14:paraId="3FD37549">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人员</w:t>
            </w:r>
          </w:p>
        </w:tc>
        <w:tc>
          <w:tcPr>
            <w:tcW w:w="4905" w:type="dxa"/>
            <w:vAlign w:val="center"/>
          </w:tcPr>
          <w:p w14:paraId="73B79322">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有专门的管理人员</w:t>
            </w:r>
          </w:p>
        </w:tc>
        <w:tc>
          <w:tcPr>
            <w:tcW w:w="7169" w:type="dxa"/>
            <w:vAlign w:val="center"/>
          </w:tcPr>
          <w:p w14:paraId="6BD3C567">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查阅任职文件。</w:t>
            </w:r>
          </w:p>
        </w:tc>
      </w:tr>
      <w:tr w14:paraId="2F0EE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14" w:type="dxa"/>
            <w:vAlign w:val="center"/>
          </w:tcPr>
          <w:p w14:paraId="7150EF0E">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1686" w:type="dxa"/>
            <w:vAlign w:val="center"/>
          </w:tcPr>
          <w:p w14:paraId="127D5892">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设施设备</w:t>
            </w:r>
          </w:p>
        </w:tc>
        <w:tc>
          <w:tcPr>
            <w:tcW w:w="4905" w:type="dxa"/>
            <w:vAlign w:val="center"/>
          </w:tcPr>
          <w:p w14:paraId="62920A21">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有专储仓库或者专储药柜</w:t>
            </w:r>
          </w:p>
        </w:tc>
        <w:tc>
          <w:tcPr>
            <w:tcW w:w="7169" w:type="dxa"/>
            <w:vAlign w:val="center"/>
          </w:tcPr>
          <w:p w14:paraId="09E85A03">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蛋白同化制剂、肽类激素，应储存于专库或者药品仓库中的专柜</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建立专用账册</w:t>
            </w:r>
            <w:r>
              <w:rPr>
                <w:rFonts w:hint="eastAsia" w:ascii="宋体" w:hAnsi="宋体" w:cs="宋体"/>
                <w:color w:val="auto"/>
                <w:sz w:val="24"/>
                <w:szCs w:val="24"/>
                <w:highlight w:val="none"/>
                <w:lang w:eastAsia="zh-CN"/>
              </w:rPr>
              <w:t>。</w:t>
            </w:r>
          </w:p>
        </w:tc>
      </w:tr>
      <w:tr w14:paraId="4498E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14" w:type="dxa"/>
            <w:vAlign w:val="center"/>
          </w:tcPr>
          <w:p w14:paraId="4205DC93">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686" w:type="dxa"/>
            <w:vAlign w:val="center"/>
          </w:tcPr>
          <w:p w14:paraId="50049C1A">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制度</w:t>
            </w:r>
          </w:p>
        </w:tc>
        <w:tc>
          <w:tcPr>
            <w:tcW w:w="4905" w:type="dxa"/>
            <w:vAlign w:val="center"/>
          </w:tcPr>
          <w:p w14:paraId="3CE3FF3D">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有专门的验收、检查、保管、销售和出入库登记制度</w:t>
            </w:r>
          </w:p>
        </w:tc>
        <w:tc>
          <w:tcPr>
            <w:tcW w:w="7169" w:type="dxa"/>
            <w:vAlign w:val="center"/>
          </w:tcPr>
          <w:p w14:paraId="31831D27">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查阅企业管理制度是否包括该内容。</w:t>
            </w:r>
          </w:p>
        </w:tc>
      </w:tr>
    </w:tbl>
    <w:p w14:paraId="46736F45">
      <w:pPr>
        <w:rPr>
          <w:color w:val="auto"/>
          <w:sz w:val="24"/>
          <w:szCs w:val="24"/>
          <w:highlight w:val="none"/>
        </w:rPr>
      </w:pPr>
    </w:p>
    <w:sectPr>
      <w:pgSz w:w="16838" w:h="11906" w:orient="landscape"/>
      <w:pgMar w:top="1587" w:right="1814" w:bottom="1587"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B39B5B9-749F-41F0-9285-E58C81ACEB1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altName w:val="仿宋"/>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embedRegular r:id="rId2" w:fontKey="{8195B92B-15B0-4CF9-A4D8-36253341A6B6}"/>
  </w:font>
  <w:font w:name="仿宋">
    <w:panose1 w:val="02010609060101010101"/>
    <w:charset w:val="86"/>
    <w:family w:val="modern"/>
    <w:pitch w:val="default"/>
    <w:sig w:usb0="800002BF" w:usb1="38CF7CFA" w:usb2="00000016" w:usb3="00000000" w:csb0="00040001" w:csb1="00000000"/>
    <w:embedRegular r:id="rId3" w:fontKey="{99551915-5F77-481A-AF1A-E140CF0B255A}"/>
  </w:font>
  <w:font w:name="方正小标宋_GBK">
    <w:panose1 w:val="03000509000000000000"/>
    <w:charset w:val="86"/>
    <w:family w:val="script"/>
    <w:pitch w:val="default"/>
    <w:sig w:usb0="00000001" w:usb1="080E0000" w:usb2="00000000" w:usb3="00000000" w:csb0="00040000" w:csb1="00000000"/>
    <w:embedRegular r:id="rId4" w:fontKey="{EED8B391-E8D7-44C7-A263-FA1727DF97B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EE8DC2"/>
    <w:multiLevelType w:val="singleLevel"/>
    <w:tmpl w:val="AEEE8DC2"/>
    <w:lvl w:ilvl="0" w:tentative="0">
      <w:start w:val="1"/>
      <w:numFmt w:val="decimal"/>
      <w:suff w:val="nothing"/>
      <w:lvlText w:val="%1、"/>
      <w:lvlJc w:val="left"/>
    </w:lvl>
  </w:abstractNum>
  <w:abstractNum w:abstractNumId="1">
    <w:nsid w:val="BDBD558C"/>
    <w:multiLevelType w:val="singleLevel"/>
    <w:tmpl w:val="BDBD558C"/>
    <w:lvl w:ilvl="0" w:tentative="0">
      <w:start w:val="1"/>
      <w:numFmt w:val="decimal"/>
      <w:suff w:val="nothing"/>
      <w:lvlText w:val="%1、"/>
      <w:lvlJc w:val="left"/>
    </w:lvl>
  </w:abstractNum>
  <w:abstractNum w:abstractNumId="2">
    <w:nsid w:val="F7DAA2B3"/>
    <w:multiLevelType w:val="singleLevel"/>
    <w:tmpl w:val="F7DAA2B3"/>
    <w:lvl w:ilvl="0" w:tentative="0">
      <w:start w:val="1"/>
      <w:numFmt w:val="decimal"/>
      <w:suff w:val="nothing"/>
      <w:lvlText w:val="%1、"/>
      <w:lvlJc w:val="left"/>
    </w:lvl>
  </w:abstractNum>
  <w:abstractNum w:abstractNumId="3">
    <w:nsid w:val="FABF6E9B"/>
    <w:multiLevelType w:val="singleLevel"/>
    <w:tmpl w:val="FABF6E9B"/>
    <w:lvl w:ilvl="0" w:tentative="0">
      <w:start w:val="1"/>
      <w:numFmt w:val="decimal"/>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4F6167"/>
    <w:rsid w:val="000C1998"/>
    <w:rsid w:val="00104EDA"/>
    <w:rsid w:val="00143316"/>
    <w:rsid w:val="001672CC"/>
    <w:rsid w:val="00184816"/>
    <w:rsid w:val="00185909"/>
    <w:rsid w:val="001B34E5"/>
    <w:rsid w:val="001B7278"/>
    <w:rsid w:val="00210FEC"/>
    <w:rsid w:val="00376530"/>
    <w:rsid w:val="004374D4"/>
    <w:rsid w:val="004D4CB4"/>
    <w:rsid w:val="00672369"/>
    <w:rsid w:val="00740AA8"/>
    <w:rsid w:val="0078123B"/>
    <w:rsid w:val="008E03BB"/>
    <w:rsid w:val="00946156"/>
    <w:rsid w:val="00952C76"/>
    <w:rsid w:val="009955F0"/>
    <w:rsid w:val="009C33D4"/>
    <w:rsid w:val="00B23750"/>
    <w:rsid w:val="00D444F1"/>
    <w:rsid w:val="00D56B7D"/>
    <w:rsid w:val="00E0696A"/>
    <w:rsid w:val="00EA037E"/>
    <w:rsid w:val="00F40F5C"/>
    <w:rsid w:val="00FE25FE"/>
    <w:rsid w:val="01944B73"/>
    <w:rsid w:val="01F62F61"/>
    <w:rsid w:val="025F6A91"/>
    <w:rsid w:val="02D03266"/>
    <w:rsid w:val="062A4740"/>
    <w:rsid w:val="08D43C6A"/>
    <w:rsid w:val="096F1E07"/>
    <w:rsid w:val="0A506070"/>
    <w:rsid w:val="0B34729B"/>
    <w:rsid w:val="0EE7435D"/>
    <w:rsid w:val="13802141"/>
    <w:rsid w:val="14CF33D4"/>
    <w:rsid w:val="1C202EC7"/>
    <w:rsid w:val="1C6A7C7F"/>
    <w:rsid w:val="1E7E4FC9"/>
    <w:rsid w:val="231A3DE6"/>
    <w:rsid w:val="232D1448"/>
    <w:rsid w:val="239E6C0D"/>
    <w:rsid w:val="28426856"/>
    <w:rsid w:val="28BB2888"/>
    <w:rsid w:val="28F55481"/>
    <w:rsid w:val="2C004BCE"/>
    <w:rsid w:val="2DBEADAD"/>
    <w:rsid w:val="2E950E9C"/>
    <w:rsid w:val="2EBD52DF"/>
    <w:rsid w:val="2ED4402A"/>
    <w:rsid w:val="2F8FA2B7"/>
    <w:rsid w:val="2FDB43FE"/>
    <w:rsid w:val="2FFA3D7E"/>
    <w:rsid w:val="30201025"/>
    <w:rsid w:val="325F1230"/>
    <w:rsid w:val="32672B84"/>
    <w:rsid w:val="34051D0C"/>
    <w:rsid w:val="345B564C"/>
    <w:rsid w:val="395B0FFF"/>
    <w:rsid w:val="3B1DD7DF"/>
    <w:rsid w:val="3B2E2DE1"/>
    <w:rsid w:val="3FEF4E58"/>
    <w:rsid w:val="427B23A4"/>
    <w:rsid w:val="46C63241"/>
    <w:rsid w:val="470B5D74"/>
    <w:rsid w:val="48AA75FF"/>
    <w:rsid w:val="48FE57BE"/>
    <w:rsid w:val="4A82495E"/>
    <w:rsid w:val="4C4B105C"/>
    <w:rsid w:val="4E207F27"/>
    <w:rsid w:val="4E974C9C"/>
    <w:rsid w:val="53EFE19E"/>
    <w:rsid w:val="54714512"/>
    <w:rsid w:val="584C1937"/>
    <w:rsid w:val="58B34E24"/>
    <w:rsid w:val="58D545FC"/>
    <w:rsid w:val="5CFF5951"/>
    <w:rsid w:val="5EBA148A"/>
    <w:rsid w:val="5F230F79"/>
    <w:rsid w:val="5F3E577A"/>
    <w:rsid w:val="5F3E608C"/>
    <w:rsid w:val="5F5F2786"/>
    <w:rsid w:val="5FB74697"/>
    <w:rsid w:val="5FCF5200"/>
    <w:rsid w:val="5FDFCE75"/>
    <w:rsid w:val="5FFBEF8E"/>
    <w:rsid w:val="612F6AFB"/>
    <w:rsid w:val="623B5ABB"/>
    <w:rsid w:val="626A5FE7"/>
    <w:rsid w:val="64582507"/>
    <w:rsid w:val="648654E6"/>
    <w:rsid w:val="64FE3781"/>
    <w:rsid w:val="6ADF649B"/>
    <w:rsid w:val="6B1B6445"/>
    <w:rsid w:val="6C8F126B"/>
    <w:rsid w:val="6D1A6875"/>
    <w:rsid w:val="6F3BA373"/>
    <w:rsid w:val="6FB5696A"/>
    <w:rsid w:val="73FB312B"/>
    <w:rsid w:val="75F71C9A"/>
    <w:rsid w:val="77145028"/>
    <w:rsid w:val="774F6167"/>
    <w:rsid w:val="79447E6F"/>
    <w:rsid w:val="796E9850"/>
    <w:rsid w:val="79D75939"/>
    <w:rsid w:val="7A3BE59A"/>
    <w:rsid w:val="7ABF3C3B"/>
    <w:rsid w:val="7AEB58BB"/>
    <w:rsid w:val="7AFE5460"/>
    <w:rsid w:val="7BF382FE"/>
    <w:rsid w:val="7C9307E0"/>
    <w:rsid w:val="7DEF692D"/>
    <w:rsid w:val="7E2B7595"/>
    <w:rsid w:val="7EFF3EB0"/>
    <w:rsid w:val="7F071EC9"/>
    <w:rsid w:val="7F771754"/>
    <w:rsid w:val="7F7D4ED3"/>
    <w:rsid w:val="7F7D936F"/>
    <w:rsid w:val="7FBB6B64"/>
    <w:rsid w:val="7FEB2335"/>
    <w:rsid w:val="9FFBB5C0"/>
    <w:rsid w:val="A7FDCFEE"/>
    <w:rsid w:val="B65D109C"/>
    <w:rsid w:val="BB1B8D7A"/>
    <w:rsid w:val="BBDDC541"/>
    <w:rsid w:val="BE7FCD6D"/>
    <w:rsid w:val="BFEFE940"/>
    <w:rsid w:val="DB4BEC7A"/>
    <w:rsid w:val="DF3FA67E"/>
    <w:rsid w:val="DFE523E3"/>
    <w:rsid w:val="E4EF3F90"/>
    <w:rsid w:val="EDA93A6D"/>
    <w:rsid w:val="EE7BB053"/>
    <w:rsid w:val="EFFC3C8A"/>
    <w:rsid w:val="F31FA77E"/>
    <w:rsid w:val="F5EF53E1"/>
    <w:rsid w:val="F5FF7F49"/>
    <w:rsid w:val="F7DF7180"/>
    <w:rsid w:val="F7EFB578"/>
    <w:rsid w:val="FA4FA74A"/>
    <w:rsid w:val="FDBFCD06"/>
    <w:rsid w:val="FDC52FCD"/>
    <w:rsid w:val="FE9E6629"/>
    <w:rsid w:val="FEBC5F20"/>
    <w:rsid w:val="FF578DE8"/>
    <w:rsid w:val="FFAF193D"/>
    <w:rsid w:val="FFDC9C21"/>
    <w:rsid w:val="FFF75E33"/>
    <w:rsid w:val="FFF7D969"/>
    <w:rsid w:val="FFFE16DB"/>
    <w:rsid w:val="FFFE9F10"/>
    <w:rsid w:val="FFFF7914"/>
    <w:rsid w:val="FFFFE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semiHidden/>
    <w:unhideWhenUsed/>
    <w:qFormat/>
    <w:uiPriority w:val="0"/>
    <w:pPr>
      <w:spacing w:beforeAutospacing="1" w:afterAutospacing="1"/>
      <w:jc w:val="left"/>
      <w:outlineLvl w:val="1"/>
    </w:pPr>
    <w:rPr>
      <w:rFonts w:hint="eastAsia" w:ascii="宋体" w:hAnsi="宋体"/>
      <w:b/>
      <w:bCs/>
      <w:kern w:val="0"/>
      <w:sz w:val="36"/>
      <w:szCs w:val="36"/>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link w:val="19"/>
    <w:qFormat/>
    <w:uiPriority w:val="99"/>
    <w:pPr>
      <w:tabs>
        <w:tab w:val="center" w:pos="4153"/>
        <w:tab w:val="right" w:pos="8306"/>
      </w:tabs>
      <w:snapToGrid w:val="0"/>
      <w:jc w:val="left"/>
    </w:pPr>
    <w:rPr>
      <w:sz w:val="18"/>
      <w:szCs w:val="18"/>
    </w:rPr>
  </w:style>
  <w:style w:type="paragraph" w:styleId="3">
    <w:name w:val="index 5"/>
    <w:basedOn w:val="1"/>
    <w:next w:val="1"/>
    <w:qFormat/>
    <w:uiPriority w:val="0"/>
    <w:pPr>
      <w:ind w:left="1680"/>
    </w:pPr>
  </w:style>
  <w:style w:type="paragraph" w:styleId="5">
    <w:name w:val="annotation text"/>
    <w:basedOn w:val="1"/>
    <w:qFormat/>
    <w:uiPriority w:val="0"/>
    <w:pPr>
      <w:jc w:val="left"/>
    </w:pPr>
  </w:style>
  <w:style w:type="paragraph" w:styleId="6">
    <w:name w:val="Body Text"/>
    <w:basedOn w:val="1"/>
    <w:link w:val="20"/>
    <w:qFormat/>
    <w:uiPriority w:val="1"/>
    <w:pPr>
      <w:ind w:left="111"/>
    </w:pPr>
    <w:rPr>
      <w:rFonts w:ascii="方正仿宋_GB2312" w:hAnsi="方正仿宋_GB2312" w:eastAsia="方正仿宋_GB2312" w:cs="方正仿宋_GB2312"/>
      <w:sz w:val="32"/>
      <w:szCs w:val="32"/>
      <w:lang w:val="zh-CN" w:bidi="zh-CN"/>
    </w:rPr>
  </w:style>
  <w:style w:type="paragraph" w:styleId="7">
    <w:name w:val="Balloon Text"/>
    <w:basedOn w:val="1"/>
    <w:link w:val="17"/>
    <w:qFormat/>
    <w:uiPriority w:val="0"/>
    <w:rPr>
      <w:sz w:val="18"/>
      <w:szCs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0">
    <w:name w:val="Normal (Web)"/>
    <w:basedOn w:val="1"/>
    <w:qFormat/>
    <w:uiPriority w:val="0"/>
    <w:pPr>
      <w:spacing w:beforeAutospacing="1" w:afterAutospacing="1"/>
      <w:jc w:val="left"/>
    </w:pPr>
    <w:rPr>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rPr>
  </w:style>
  <w:style w:type="character" w:styleId="15">
    <w:name w:val="annotation reference"/>
    <w:basedOn w:val="13"/>
    <w:qFormat/>
    <w:uiPriority w:val="0"/>
    <w:rPr>
      <w:sz w:val="21"/>
      <w:szCs w:val="21"/>
    </w:rPr>
  </w:style>
  <w:style w:type="paragraph" w:customStyle="1" w:styleId="16">
    <w:name w:val="Table Paragraph"/>
    <w:basedOn w:val="1"/>
    <w:qFormat/>
    <w:uiPriority w:val="1"/>
    <w:rPr>
      <w:rFonts w:ascii="宋体" w:hAnsi="宋体" w:cs="宋体"/>
      <w:lang w:val="zh-CN" w:bidi="zh-CN"/>
    </w:rPr>
  </w:style>
  <w:style w:type="character" w:customStyle="1" w:styleId="17">
    <w:name w:val="批注框文本 Char"/>
    <w:basedOn w:val="13"/>
    <w:link w:val="7"/>
    <w:qFormat/>
    <w:uiPriority w:val="0"/>
    <w:rPr>
      <w:kern w:val="2"/>
      <w:sz w:val="18"/>
      <w:szCs w:val="18"/>
    </w:rPr>
  </w:style>
  <w:style w:type="character" w:customStyle="1" w:styleId="18">
    <w:name w:val="页眉 Char"/>
    <w:basedOn w:val="13"/>
    <w:link w:val="8"/>
    <w:qFormat/>
    <w:uiPriority w:val="0"/>
    <w:rPr>
      <w:kern w:val="2"/>
      <w:sz w:val="18"/>
      <w:szCs w:val="18"/>
    </w:rPr>
  </w:style>
  <w:style w:type="character" w:customStyle="1" w:styleId="19">
    <w:name w:val="页脚 Char"/>
    <w:basedOn w:val="13"/>
    <w:link w:val="2"/>
    <w:qFormat/>
    <w:uiPriority w:val="99"/>
    <w:rPr>
      <w:kern w:val="2"/>
      <w:sz w:val="18"/>
      <w:szCs w:val="18"/>
    </w:rPr>
  </w:style>
  <w:style w:type="character" w:customStyle="1" w:styleId="20">
    <w:name w:val="正文文本 Char"/>
    <w:basedOn w:val="13"/>
    <w:link w:val="6"/>
    <w:qFormat/>
    <w:uiPriority w:val="1"/>
    <w:rPr>
      <w:rFonts w:ascii="方正仿宋_GB2312" w:hAnsi="方正仿宋_GB2312" w:eastAsia="方正仿宋_GB2312" w:cs="方正仿宋_GB2312"/>
      <w:kern w:val="2"/>
      <w:sz w:val="32"/>
      <w:szCs w:val="32"/>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34</Pages>
  <Words>529</Words>
  <Characters>529</Characters>
  <Lines>211</Lines>
  <Paragraphs>59</Paragraphs>
  <TotalTime>0</TotalTime>
  <ScaleCrop>false</ScaleCrop>
  <LinksUpToDate>false</LinksUpToDate>
  <CharactersWithSpaces>530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2025-03-11T00:46:00Z</dcterms:created>
  <dc:creator>陈</dc:creator>
  <cp:lastModifiedBy>.</cp:lastModifiedBy>
  <cp:lastPrinted>2025-08-08T07:52:00Z</cp:lastPrinted>
  <dcterms:modified xsi:type="dcterms:W3CDTF">2025-08-21T07:53:04Z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3EEA316BAD5944299A8426461FCA3F52_13</vt:lpwstr>
  </property>
  <property fmtid="{D5CDD505-2E9C-101B-9397-08002B2CF9AE}" pid="4" name="KSOTemplateDocerSaveRecord">
    <vt:lpwstr>eyJoZGlkIjoiNmYzYTQ1MDI4NGY3YTk5YzY4MDJjZWYzNDhkYmM1ZWIiLCJ1c2VySWQiOiI2MTc0NzE3MzMifQ==</vt:lpwstr>
  </property>
</Properties>
</file>