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sz w:val="52"/>
          <w:szCs w:val="52"/>
        </w:rPr>
      </w:pPr>
      <w:r>
        <w:rPr>
          <w:rFonts w:hint="eastAsia" w:ascii="仿宋_GB2312" w:hAnsi="宋体" w:eastAsia="仿宋_GB2312" w:cs="仿宋_GB2312"/>
          <w:i w:val="0"/>
          <w:caps w:val="0"/>
          <w:color w:val="333333"/>
          <w:spacing w:val="0"/>
          <w:sz w:val="31"/>
          <w:szCs w:val="31"/>
          <w:shd w:val="clear" w:fill="FFFFFF"/>
          <w:lang w:val="en-US" w:eastAsia="zh-CN"/>
        </w:rPr>
        <w:t>附件1</w:t>
      </w:r>
    </w:p>
    <w:p>
      <w:pPr>
        <w:jc w:val="center"/>
        <w:rPr>
          <w:rFonts w:ascii="仿宋_GB2312" w:hAnsi="仿宋_GB2312" w:eastAsia="仿宋_GB2312" w:cs="仿宋_GB2312"/>
          <w:b/>
          <w:sz w:val="52"/>
          <w:szCs w:val="52"/>
        </w:rPr>
      </w:pPr>
      <w:r>
        <w:rPr>
          <w:rFonts w:hint="eastAsia" w:ascii="仿宋_GB2312" w:hAnsi="仿宋_GB2312" w:eastAsia="仿宋_GB2312" w:cs="仿宋_GB2312"/>
          <w:b/>
          <w:sz w:val="52"/>
          <w:szCs w:val="52"/>
        </w:rPr>
        <w:t>湖北省药品监督管理局</w:t>
      </w:r>
    </w:p>
    <w:p>
      <w:pPr>
        <w:pStyle w:val="3"/>
        <w:ind w:firstLine="1566" w:firstLineChars="300"/>
        <w:rPr>
          <w:rFonts w:hint="eastAsia" w:ascii="黑体" w:hAnsi="黑体" w:eastAsia="黑体" w:cs="黑体"/>
          <w:b/>
          <w:sz w:val="52"/>
          <w:szCs w:val="52"/>
        </w:rPr>
      </w:pPr>
      <w:r>
        <w:rPr>
          <w:rFonts w:hint="eastAsia" w:ascii="仿宋_GB2312" w:hAnsi="仿宋_GB2312" w:eastAsia="仿宋_GB2312" w:cs="仿宋_GB2312"/>
          <w:b/>
          <w:sz w:val="52"/>
          <w:szCs w:val="52"/>
        </w:rPr>
        <w:t>医疗器械召回管理功能模块</w:t>
      </w:r>
    </w:p>
    <w:p>
      <w:pPr>
        <w:rPr>
          <w:rFonts w:hint="eastAsia" w:ascii="黑体" w:hAnsi="黑体" w:eastAsia="黑体" w:cs="黑体"/>
          <w:b/>
          <w:sz w:val="52"/>
          <w:szCs w:val="52"/>
        </w:rPr>
      </w:pPr>
    </w:p>
    <w:p>
      <w:pPr>
        <w:jc w:val="center"/>
        <w:rPr>
          <w:rFonts w:ascii="仿宋_GB2312" w:hAnsi="仿宋_GB2312" w:eastAsia="仿宋_GB2312" w:cs="仿宋_GB2312"/>
          <w:b/>
          <w:sz w:val="72"/>
          <w:szCs w:val="72"/>
        </w:rPr>
      </w:pPr>
      <w:bookmarkStart w:id="0" w:name="_Toc11472"/>
      <w:r>
        <w:rPr>
          <w:rFonts w:hint="eastAsia" w:ascii="仿宋_GB2312" w:hAnsi="仿宋_GB2312" w:eastAsia="仿宋_GB2312" w:cs="仿宋_GB2312"/>
          <w:b/>
          <w:sz w:val="72"/>
          <w:szCs w:val="72"/>
        </w:rPr>
        <w:t>操</w:t>
      </w:r>
      <w:bookmarkEnd w:id="0"/>
      <w:bookmarkStart w:id="1" w:name="_Toc18631"/>
      <w:r>
        <w:rPr>
          <w:rFonts w:hint="eastAsia" w:ascii="仿宋_GB2312" w:hAnsi="仿宋_GB2312" w:eastAsia="仿宋_GB2312" w:cs="仿宋_GB2312"/>
          <w:b/>
          <w:sz w:val="72"/>
          <w:szCs w:val="72"/>
        </w:rPr>
        <w:t>作</w:t>
      </w:r>
      <w:bookmarkEnd w:id="1"/>
      <w:bookmarkStart w:id="2" w:name="_Toc592"/>
      <w:r>
        <w:rPr>
          <w:rFonts w:hint="eastAsia" w:ascii="仿宋_GB2312" w:hAnsi="仿宋_GB2312" w:eastAsia="仿宋_GB2312" w:cs="仿宋_GB2312"/>
          <w:b/>
          <w:sz w:val="72"/>
          <w:szCs w:val="72"/>
        </w:rPr>
        <w:t>手</w:t>
      </w:r>
      <w:bookmarkEnd w:id="2"/>
      <w:bookmarkStart w:id="3" w:name="_Toc27290"/>
      <w:r>
        <w:rPr>
          <w:rFonts w:hint="eastAsia" w:ascii="仿宋_GB2312" w:hAnsi="仿宋_GB2312" w:eastAsia="仿宋_GB2312" w:cs="仿宋_GB2312"/>
          <w:b/>
          <w:sz w:val="72"/>
          <w:szCs w:val="72"/>
        </w:rPr>
        <w:t>册</w:t>
      </w:r>
      <w:bookmarkEnd w:id="3"/>
      <w:r>
        <w:rPr>
          <w:rFonts w:hint="eastAsia" w:ascii="仿宋_GB2312" w:hAnsi="仿宋_GB2312" w:eastAsia="仿宋_GB2312" w:cs="仿宋_GB2312"/>
          <w:b/>
          <w:sz w:val="72"/>
          <w:szCs w:val="72"/>
        </w:rPr>
        <w:t>（企业端）</w:t>
      </w:r>
    </w:p>
    <w:p>
      <w:pPr>
        <w:pStyle w:val="3"/>
        <w:rPr>
          <w:rFonts w:hint="eastAsia" w:ascii="黑体" w:hAnsi="黑体" w:eastAsia="黑体" w:cs="黑体"/>
          <w:b/>
          <w:sz w:val="52"/>
          <w:szCs w:val="52"/>
        </w:rPr>
      </w:pPr>
    </w:p>
    <w:p>
      <w:pPr>
        <w:pStyle w:val="3"/>
        <w:rPr>
          <w:rFonts w:hint="eastAsia" w:ascii="黑体" w:hAnsi="黑体" w:eastAsia="黑体" w:cs="黑体"/>
          <w:b/>
          <w:sz w:val="52"/>
          <w:szCs w:val="52"/>
        </w:rPr>
      </w:pPr>
    </w:p>
    <w:p>
      <w:pPr>
        <w:pStyle w:val="3"/>
        <w:rPr>
          <w:rFonts w:hint="eastAsia" w:ascii="黑体" w:hAnsi="黑体" w:eastAsia="黑体" w:cs="黑体"/>
          <w:b/>
          <w:sz w:val="52"/>
          <w:szCs w:val="52"/>
        </w:rPr>
      </w:pPr>
    </w:p>
    <w:p>
      <w:pPr>
        <w:pStyle w:val="3"/>
        <w:rPr>
          <w:rFonts w:hint="eastAsia" w:ascii="黑体" w:hAnsi="黑体" w:eastAsia="黑体" w:cs="黑体"/>
          <w:b/>
          <w:sz w:val="52"/>
          <w:szCs w:val="52"/>
        </w:rPr>
      </w:pPr>
    </w:p>
    <w:p>
      <w:pPr>
        <w:pStyle w:val="3"/>
        <w:rPr>
          <w:rFonts w:hint="eastAsia" w:ascii="黑体" w:hAnsi="黑体" w:eastAsia="黑体" w:cs="黑体"/>
          <w:b/>
          <w:sz w:val="52"/>
          <w:szCs w:val="52"/>
        </w:rPr>
      </w:pPr>
    </w:p>
    <w:p>
      <w:pPr>
        <w:pStyle w:val="3"/>
        <w:rPr>
          <w:rFonts w:hint="eastAsia" w:ascii="黑体" w:hAnsi="黑体" w:eastAsia="黑体" w:cs="黑体"/>
          <w:b/>
          <w:sz w:val="52"/>
          <w:szCs w:val="52"/>
        </w:rPr>
      </w:pPr>
    </w:p>
    <w:p>
      <w:pPr>
        <w:pStyle w:val="3"/>
        <w:rPr>
          <w:rFonts w:hint="eastAsia" w:ascii="黑体" w:hAnsi="黑体" w:eastAsia="黑体" w:cs="黑体"/>
          <w:b/>
          <w:sz w:val="52"/>
          <w:szCs w:val="52"/>
        </w:rPr>
      </w:pPr>
    </w:p>
    <w:p>
      <w:pPr>
        <w:pStyle w:val="3"/>
        <w:ind w:firstLine="1967" w:firstLineChars="700"/>
        <w:jc w:val="both"/>
        <w:rPr>
          <w:rFonts w:hint="eastAsia" w:ascii="仿宋_GB2312" w:hAnsi="仿宋_GB2312" w:eastAsia="仿宋_GB2312" w:cs="仿宋_GB2312"/>
          <w:b/>
          <w:sz w:val="28"/>
          <w:szCs w:val="28"/>
        </w:rPr>
      </w:pPr>
    </w:p>
    <w:p>
      <w:pPr>
        <w:pStyle w:val="3"/>
        <w:ind w:firstLine="1967" w:firstLineChars="700"/>
        <w:jc w:val="both"/>
        <w:rPr>
          <w:rFonts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t>单</w:t>
      </w:r>
      <w:r>
        <w:rPr>
          <w:rFonts w:hint="eastAsia" w:ascii="仿宋_GB2312" w:hAnsi="仿宋_GB2312" w:eastAsia="仿宋_GB2312" w:cs="仿宋_GB2312"/>
          <w:b/>
          <w:sz w:val="28"/>
          <w:szCs w:val="28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/>
          <w:sz w:val="28"/>
          <w:szCs w:val="28"/>
        </w:rPr>
        <w:t>位：</w:t>
      </w:r>
      <w:r>
        <w:rPr>
          <w:rFonts w:hint="eastAsia" w:ascii="仿宋_GB2312" w:hAnsi="仿宋_GB2312" w:eastAsia="仿宋_GB2312" w:cs="仿宋_GB2312"/>
          <w:b/>
          <w:kern w:val="2"/>
          <w:sz w:val="28"/>
          <w:szCs w:val="28"/>
          <w:lang w:val="en-US" w:eastAsia="zh-CN" w:bidi="ar-SA"/>
        </w:rPr>
        <w:t>湖北省药品监督管理局</w:t>
      </w:r>
    </w:p>
    <w:p>
      <w:pPr>
        <w:pStyle w:val="3"/>
        <w:ind w:firstLine="1967" w:firstLineChars="700"/>
        <w:rPr>
          <w:rFonts w:hint="eastAsia"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t>日    期：      2026年</w:t>
      </w:r>
      <w:r>
        <w:rPr>
          <w:rFonts w:hint="eastAsia" w:ascii="仿宋_GB2312" w:hAnsi="仿宋_GB2312" w:eastAsia="仿宋_GB2312" w:cs="仿宋_GB2312"/>
          <w:b/>
          <w:sz w:val="28"/>
          <w:szCs w:val="28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/>
          <w:sz w:val="28"/>
          <w:szCs w:val="28"/>
        </w:rPr>
        <w:t>月</w:t>
      </w:r>
    </w:p>
    <w:p>
      <w:pPr>
        <w:keepNext/>
        <w:keepLines/>
        <w:numPr>
          <w:ilvl w:val="0"/>
          <w:numId w:val="1"/>
        </w:numPr>
        <w:tabs>
          <w:tab w:val="left" w:pos="420"/>
        </w:tabs>
        <w:adjustRightInd w:val="0"/>
        <w:snapToGrid w:val="0"/>
        <w:spacing w:line="600" w:lineRule="exact"/>
        <w:ind w:left="420" w:leftChars="200"/>
        <w:outlineLvl w:val="0"/>
        <w:rPr>
          <w:rFonts w:hint="eastAsia" w:ascii="黑体" w:hAnsi="黑体" w:eastAsia="黑体" w:cs="黑体"/>
          <w:kern w:val="44"/>
          <w:sz w:val="44"/>
          <w:szCs w:val="24"/>
        </w:rPr>
      </w:pPr>
      <w:r>
        <w:rPr>
          <w:rFonts w:hint="eastAsia" w:ascii="黑体" w:hAnsi="黑体" w:eastAsia="黑体" w:cs="黑体"/>
          <w:kern w:val="44"/>
          <w:sz w:val="44"/>
          <w:szCs w:val="24"/>
        </w:rPr>
        <w:t>系统环境</w:t>
      </w:r>
    </w:p>
    <w:p>
      <w:pPr>
        <w:pStyle w:val="6"/>
        <w:spacing w:line="500" w:lineRule="exact"/>
        <w:ind w:left="0"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操作系统：Windows 系统。</w:t>
      </w:r>
    </w:p>
    <w:p>
      <w:pPr>
        <w:pStyle w:val="6"/>
        <w:spacing w:line="500" w:lineRule="exact"/>
        <w:ind w:left="0"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浏览器版本：谷歌、360极速模式。</w:t>
      </w:r>
    </w:p>
    <w:p>
      <w:pPr>
        <w:pStyle w:val="6"/>
        <w:spacing w:line="500" w:lineRule="exact"/>
        <w:ind w:left="0"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显示器分辨率：建议1600*900及以上。</w:t>
      </w:r>
    </w:p>
    <w:p>
      <w:pPr>
        <w:pStyle w:val="6"/>
        <w:spacing w:line="500" w:lineRule="exact"/>
        <w:ind w:left="0"/>
        <w:rPr>
          <w:rFonts w:ascii="仿宋_GB2312" w:hAnsi="仿宋_GB2312" w:eastAsia="仿宋_GB2312" w:cs="仿宋_GB2312"/>
          <w:sz w:val="28"/>
          <w:szCs w:val="28"/>
        </w:rPr>
      </w:pPr>
    </w:p>
    <w:p>
      <w:pPr>
        <w:keepNext/>
        <w:keepLines/>
        <w:tabs>
          <w:tab w:val="left" w:pos="420"/>
        </w:tabs>
        <w:adjustRightInd w:val="0"/>
        <w:snapToGrid w:val="0"/>
        <w:spacing w:line="600" w:lineRule="exact"/>
        <w:ind w:left="420" w:leftChars="200"/>
        <w:outlineLvl w:val="0"/>
        <w:rPr>
          <w:rFonts w:hint="eastAsia" w:ascii="黑体" w:hAnsi="黑体" w:eastAsia="黑体" w:cs="黑体"/>
          <w:kern w:val="44"/>
          <w:sz w:val="44"/>
          <w:szCs w:val="24"/>
        </w:rPr>
      </w:pPr>
      <w:bookmarkStart w:id="4" w:name="_Toc57365749"/>
      <w:bookmarkStart w:id="5" w:name="_Toc55921469"/>
      <w:bookmarkStart w:id="6" w:name="_Toc55227665"/>
      <w:bookmarkStart w:id="7" w:name="_Toc208502704"/>
      <w:bookmarkStart w:id="8" w:name="_Toc61437594"/>
      <w:bookmarkStart w:id="9" w:name="_Toc55228938"/>
      <w:bookmarkStart w:id="10" w:name="_Toc1540"/>
      <w:bookmarkStart w:id="11" w:name="_Toc69695268"/>
      <w:bookmarkStart w:id="12" w:name="_Toc55805344"/>
      <w:r>
        <w:rPr>
          <w:rFonts w:hint="eastAsia" w:ascii="黑体" w:hAnsi="黑体" w:eastAsia="黑体" w:cs="黑体"/>
          <w:kern w:val="44"/>
          <w:sz w:val="44"/>
          <w:szCs w:val="24"/>
        </w:rPr>
        <w:t>二、登录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>
      <w:pPr>
        <w:pStyle w:val="6"/>
        <w:spacing w:line="500" w:lineRule="exact"/>
        <w:ind w:left="0"/>
        <w:rPr>
          <w:rFonts w:ascii="仿宋_GB2312" w:hAnsi="仿宋_GB2312" w:eastAsia="仿宋_GB2312" w:cs="仿宋_GB2312"/>
          <w:sz w:val="28"/>
          <w:szCs w:val="28"/>
        </w:rPr>
      </w:pPr>
    </w:p>
    <w:p>
      <w:pPr>
        <w:pStyle w:val="6"/>
        <w:spacing w:line="500" w:lineRule="exact"/>
        <w:ind w:left="0"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ascii="仿宋_GB2312" w:hAnsi="仿宋_GB2312" w:eastAsia="仿宋_GB2312" w:cs="仿宋_GB2312"/>
          <w:sz w:val="28"/>
          <w:szCs w:val="28"/>
        </w:rPr>
        <w:t>在浏览器输入湖北省药品监督管理局官网地址：https://mpa.hubei.gov.cn/（互联网），点击网站下方“信息化业务平台（企业端）”，跳转到湖北省药品监督管理局业务平台页面，点击图中</w:t>
      </w:r>
      <w:r>
        <w:rPr>
          <w:rFonts w:hint="eastAsia" w:ascii="仿宋_GB2312" w:hAnsi="仿宋_GB2312" w:eastAsia="仿宋_GB2312" w:cs="仿宋_GB2312"/>
          <w:sz w:val="28"/>
          <w:szCs w:val="28"/>
        </w:rPr>
        <w:t>器械数据报送下的</w:t>
      </w:r>
      <w:r>
        <w:rPr>
          <w:rFonts w:ascii="仿宋_GB2312" w:hAnsi="仿宋_GB2312" w:eastAsia="仿宋_GB2312" w:cs="仿宋_GB2312"/>
          <w:sz w:val="28"/>
          <w:szCs w:val="28"/>
        </w:rPr>
        <w:t>“立即填报”按钮，再在页面中点击“医疗器械</w:t>
      </w:r>
      <w:r>
        <w:rPr>
          <w:rFonts w:hint="eastAsia" w:ascii="仿宋_GB2312" w:hAnsi="仿宋_GB2312" w:eastAsia="仿宋_GB2312" w:cs="仿宋_GB2312"/>
          <w:sz w:val="28"/>
          <w:szCs w:val="28"/>
        </w:rPr>
        <w:t>召回</w:t>
      </w:r>
      <w:r>
        <w:rPr>
          <w:rFonts w:ascii="仿宋_GB2312" w:hAnsi="仿宋_GB2312" w:eastAsia="仿宋_GB2312" w:cs="仿宋_GB2312"/>
          <w:sz w:val="28"/>
          <w:szCs w:val="28"/>
        </w:rPr>
        <w:t>”按钮，跳转到登录页面输入账号密码完成登录。如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下</w:t>
      </w:r>
      <w:r>
        <w:rPr>
          <w:rFonts w:ascii="仿宋_GB2312" w:hAnsi="仿宋_GB2312" w:eastAsia="仿宋_GB2312" w:cs="仿宋_GB2312"/>
          <w:sz w:val="28"/>
          <w:szCs w:val="28"/>
        </w:rPr>
        <w:t>图所示。</w:t>
      </w:r>
    </w:p>
    <w:p>
      <w:pPr>
        <w:pStyle w:val="6"/>
        <w:spacing w:line="500" w:lineRule="exact"/>
        <w:ind w:left="0" w:firstLine="560" w:firstLineChars="200"/>
        <w:rPr>
          <w:rFonts w:ascii="仿宋_GB2312" w:hAnsi="仿宋_GB2312" w:eastAsia="仿宋_GB2312" w:cs="仿宋_GB2312"/>
          <w:sz w:val="28"/>
          <w:szCs w:val="28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9865" cy="2945765"/>
            <wp:effectExtent l="0" t="0" r="635" b="63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73675" cy="2664460"/>
            <wp:effectExtent l="0" t="0" r="9525" b="254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73675" cy="2672715"/>
            <wp:effectExtent l="0" t="0" r="9525" b="6985"/>
            <wp:docPr id="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6690" cy="2792095"/>
            <wp:effectExtent l="0" t="0" r="3810" b="1905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0"/>
        <w:jc w:val="center"/>
        <w:rPr>
          <w:rFonts w:ascii="Times New Roman" w:hAnsi="Times New Roman" w:eastAsia="仿宋" w:cs="Times New Roman"/>
          <w:b/>
          <w:kern w:val="44"/>
          <w:sz w:val="24"/>
          <w:szCs w:val="24"/>
        </w:rPr>
      </w:pPr>
    </w:p>
    <w:p>
      <w:pPr>
        <w:keepNext/>
        <w:keepLines/>
        <w:numPr>
          <w:ilvl w:val="0"/>
          <w:numId w:val="0"/>
        </w:numPr>
        <w:tabs>
          <w:tab w:val="left" w:pos="420"/>
        </w:tabs>
        <w:adjustRightInd w:val="0"/>
        <w:snapToGrid w:val="0"/>
        <w:spacing w:line="600" w:lineRule="exact"/>
        <w:outlineLvl w:val="0"/>
        <w:rPr>
          <w:rFonts w:ascii="Times New Roman" w:hAnsi="Times New Roman" w:eastAsia="仿宋" w:cs="Times New Roman"/>
          <w:kern w:val="44"/>
          <w:sz w:val="32"/>
          <w:szCs w:val="20"/>
        </w:rPr>
      </w:pPr>
      <w:r>
        <w:rPr>
          <w:rFonts w:hint="eastAsia" w:ascii="黑体" w:hAnsi="黑体" w:eastAsia="黑体" w:cs="黑体"/>
          <w:kern w:val="44"/>
          <w:sz w:val="44"/>
          <w:szCs w:val="24"/>
          <w:lang w:val="en-US" w:eastAsia="zh-CN"/>
        </w:rPr>
        <w:t>三、</w:t>
      </w:r>
      <w:r>
        <w:rPr>
          <w:rFonts w:hint="eastAsia" w:ascii="黑体" w:hAnsi="黑体" w:eastAsia="黑体" w:cs="黑体"/>
          <w:kern w:val="44"/>
          <w:sz w:val="44"/>
          <w:szCs w:val="24"/>
        </w:rPr>
        <w:t xml:space="preserve">填报流程     </w:t>
      </w: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 xml:space="preserve">      </w:t>
      </w:r>
    </w:p>
    <w:p>
      <w:pPr>
        <w:keepNext/>
        <w:keepLines/>
        <w:numPr>
          <w:ilvl w:val="0"/>
          <w:numId w:val="2"/>
        </w:numPr>
        <w:tabs>
          <w:tab w:val="left" w:pos="0"/>
        </w:tabs>
        <w:adjustRightInd w:val="0"/>
        <w:snapToGrid w:val="0"/>
        <w:spacing w:line="500" w:lineRule="exact"/>
        <w:ind w:left="210" w:leftChars="100"/>
        <w:outlineLvl w:val="1"/>
        <w:rPr>
          <w:rFonts w:ascii="Times New Roman" w:hAnsi="Times New Roman" w:eastAsia="仿宋" w:cs="Times New Roman"/>
          <w:kern w:val="44"/>
          <w:sz w:val="32"/>
          <w:szCs w:val="20"/>
        </w:rPr>
      </w:pP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>医疗器械召回新增</w:t>
      </w:r>
    </w:p>
    <w:p>
      <w:pPr>
        <w:rPr>
          <w:rFonts w:hint="eastAsia"/>
        </w:rPr>
      </w:pP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bookmarkStart w:id="13" w:name="_Hlk218070442"/>
      <w:r>
        <w:rPr>
          <w:rFonts w:hint="eastAsia" w:ascii="仿宋_GB2312" w:hAnsi="仿宋_GB2312" w:eastAsia="仿宋_GB2312" w:cs="仿宋_GB2312"/>
          <w:sz w:val="28"/>
          <w:szCs w:val="28"/>
        </w:rPr>
        <w:t>登录成功后，可以查看到下方正在处于召回的信息，点击“新增”，跳转到需要填写召回事件报告表的页面。如下图所示</w:t>
      </w:r>
    </w:p>
    <w:bookmarkEnd w:id="13"/>
    <w:p>
      <w:pPr>
        <w:rPr>
          <w:rFonts w:hint="eastAsia"/>
        </w:rPr>
      </w:pPr>
      <w:r>
        <w:drawing>
          <wp:inline distT="0" distB="0" distL="114300" distR="114300">
            <wp:extent cx="5269230" cy="2792095"/>
            <wp:effectExtent l="0" t="0" r="1270" b="1905"/>
            <wp:docPr id="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6055" cy="3288030"/>
            <wp:effectExtent l="0" t="0" r="4445" b="1270"/>
            <wp:docPr id="10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keepNext/>
        <w:keepLines/>
        <w:numPr>
          <w:ilvl w:val="0"/>
          <w:numId w:val="2"/>
        </w:numPr>
        <w:tabs>
          <w:tab w:val="left" w:pos="0"/>
        </w:tabs>
        <w:adjustRightInd w:val="0"/>
        <w:snapToGrid w:val="0"/>
        <w:spacing w:line="500" w:lineRule="exact"/>
        <w:ind w:left="210" w:leftChars="100"/>
        <w:outlineLvl w:val="1"/>
        <w:rPr>
          <w:rFonts w:ascii="Times New Roman" w:hAnsi="Times New Roman" w:eastAsia="仿宋" w:cs="Times New Roman"/>
          <w:kern w:val="44"/>
          <w:sz w:val="32"/>
          <w:szCs w:val="20"/>
        </w:rPr>
      </w:pP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>下载召回事件报告表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企业端用户填写完召回事件报告的所有信息后，点击下方“保存并预览”，会跳转到医疗器械召回事件报告预览页面，如有误可点击下方“返回”，如确认无误后，可点击下方“下载医疗器械召回事件报告”，即可下载医疗器械召回事件报告表，签字盖章。如下所示。</w:t>
      </w:r>
    </w:p>
    <w:p>
      <w:r>
        <w:drawing>
          <wp:inline distT="0" distB="0" distL="114300" distR="114300">
            <wp:extent cx="5269230" cy="3352165"/>
            <wp:effectExtent l="0" t="0" r="1270" b="635"/>
            <wp:docPr id="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71770" cy="3277235"/>
            <wp:effectExtent l="0" t="0" r="11430" b="12065"/>
            <wp:docPr id="9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keepNext/>
        <w:keepLines/>
        <w:numPr>
          <w:ilvl w:val="0"/>
          <w:numId w:val="2"/>
        </w:numPr>
        <w:tabs>
          <w:tab w:val="left" w:pos="0"/>
        </w:tabs>
        <w:adjustRightInd w:val="0"/>
        <w:snapToGrid w:val="0"/>
        <w:spacing w:line="500" w:lineRule="exact"/>
        <w:ind w:left="210" w:leftChars="100"/>
        <w:outlineLvl w:val="1"/>
        <w:rPr>
          <w:rFonts w:hint="eastAsia"/>
        </w:rPr>
      </w:pP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>上传盖章后的召回事件报告表</w:t>
      </w:r>
      <w:r>
        <w:rPr>
          <w:rFonts w:hint="eastAsia" w:ascii="仿宋_GB2312" w:hAnsi="仿宋_GB2312" w:eastAsia="仿宋_GB2312" w:cs="仿宋_GB2312"/>
          <w:sz w:val="28"/>
          <w:szCs w:val="28"/>
        </w:rPr>
        <w:t>（必须上传）</w:t>
      </w:r>
    </w:p>
    <w:p>
      <w:pPr>
        <w:jc w:val="center"/>
        <w:rPr>
          <w:rFonts w:hint="eastAsia"/>
        </w:rPr>
      </w:pP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下载召回事件报告表，签字盖章后，选择“点击上传医疗器械召回事件报告表”，此时会弹出文件上传提示。如下图所示。</w:t>
      </w:r>
    </w:p>
    <w:p>
      <w:pPr>
        <w:rPr>
          <w:rFonts w:hint="eastAsia"/>
        </w:rPr>
      </w:pPr>
      <w:r>
        <w:rPr>
          <w:rFonts w:hint="eastAsia"/>
        </w:rPr>
        <w:t xml:space="preserve">                </w:t>
      </w:r>
      <w:r>
        <w:drawing>
          <wp:inline distT="0" distB="0" distL="114300" distR="114300">
            <wp:extent cx="4159250" cy="1949450"/>
            <wp:effectExtent l="0" t="0" r="6350" b="6350"/>
            <wp:docPr id="28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ascii="仿宋_GB2312" w:hAnsi="仿宋_GB2312" w:eastAsia="仿宋_GB2312" w:cs="仿宋_GB2312"/>
          <w:sz w:val="28"/>
          <w:szCs w:val="28"/>
        </w:rPr>
      </w:pPr>
    </w:p>
    <w:p>
      <w:pPr>
        <w:ind w:firstLine="560" w:firstLineChars="200"/>
        <w:rPr>
          <w:rFonts w:hint="eastAsia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点击“点击上传”按钮，选择签字盖章的“召回事件报告表”，点击“确定”，如下图所示。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3675" cy="969645"/>
            <wp:effectExtent l="0" t="0" r="9525" b="8255"/>
            <wp:docPr id="30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7325" cy="4373245"/>
            <wp:effectExtent l="0" t="0" r="3175" b="8255"/>
            <wp:docPr id="31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上传完毕后，继续点击填报，完成调查评估报告。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5273040" cy="1719580"/>
            <wp:effectExtent l="0" t="0" r="10160" b="7620"/>
            <wp:docPr id="3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/>
        <w:keepLines/>
        <w:numPr>
          <w:ilvl w:val="0"/>
          <w:numId w:val="2"/>
        </w:numPr>
        <w:tabs>
          <w:tab w:val="left" w:pos="0"/>
        </w:tabs>
        <w:adjustRightInd w:val="0"/>
        <w:snapToGrid w:val="0"/>
        <w:spacing w:line="500" w:lineRule="exact"/>
        <w:ind w:left="210" w:leftChars="100"/>
        <w:outlineLvl w:val="1"/>
        <w:rPr>
          <w:rFonts w:ascii="Times New Roman" w:hAnsi="Times New Roman" w:eastAsia="仿宋" w:cs="Times New Roman"/>
          <w:kern w:val="44"/>
          <w:sz w:val="32"/>
          <w:szCs w:val="20"/>
        </w:rPr>
      </w:pP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>填写调查评估报告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填写完调查评估报告的信息，点击“提交”。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6690" cy="2473325"/>
            <wp:effectExtent l="0" t="0" r="3810" b="3175"/>
            <wp:docPr id="3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keepNext/>
        <w:keepLines/>
        <w:numPr>
          <w:ilvl w:val="0"/>
          <w:numId w:val="2"/>
        </w:numPr>
        <w:tabs>
          <w:tab w:val="left" w:pos="0"/>
        </w:tabs>
        <w:adjustRightInd w:val="0"/>
        <w:snapToGrid w:val="0"/>
        <w:spacing w:line="500" w:lineRule="exact"/>
        <w:ind w:left="210" w:leftChars="100"/>
        <w:outlineLvl w:val="1"/>
        <w:rPr>
          <w:rFonts w:ascii="Times New Roman" w:hAnsi="Times New Roman" w:eastAsia="仿宋" w:cs="Times New Roman"/>
          <w:kern w:val="44"/>
          <w:sz w:val="32"/>
          <w:szCs w:val="20"/>
        </w:rPr>
      </w:pP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>填写召回计划</w:t>
      </w:r>
    </w:p>
    <w:p>
      <w:pPr>
        <w:rPr>
          <w:rFonts w:hint="eastAsia"/>
        </w:rPr>
      </w:pP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下一步填写召回计划的信息，继续点击填报。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6690" cy="1358265"/>
            <wp:effectExtent l="0" t="0" r="3810" b="635"/>
            <wp:docPr id="3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召回计划填写完毕后，点击下方提交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9865" cy="2454275"/>
            <wp:effectExtent l="0" t="0" r="635" b="9525"/>
            <wp:docPr id="3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2"/>
        </w:numPr>
        <w:tabs>
          <w:tab w:val="left" w:pos="0"/>
        </w:tabs>
        <w:adjustRightInd w:val="0"/>
        <w:snapToGrid w:val="0"/>
        <w:spacing w:line="500" w:lineRule="exact"/>
        <w:ind w:left="210" w:leftChars="100"/>
        <w:outlineLvl w:val="1"/>
        <w:rPr>
          <w:rFonts w:ascii="Times New Roman" w:hAnsi="Times New Roman" w:eastAsia="仿宋" w:cs="Times New Roman"/>
          <w:kern w:val="44"/>
          <w:sz w:val="32"/>
          <w:szCs w:val="20"/>
        </w:rPr>
      </w:pP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>填写并预览召回计划实施情况表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继续点击填报按钮，填写召回计划实施情况的信息，填写完毕后，再点击“保存并预览”，会跳转到医疗器械召回计划实施情况表预览页面，如有误可点击下方“返回”，如确认无误后，可点击下方“下载召回计划实施情况报告表”，下载医疗器械召回计划实施情况表，签字盖章。如下所示。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</w:p>
    <w:p>
      <w:pPr>
        <w:pStyle w:val="6"/>
        <w:ind w:left="0"/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8595" cy="1320800"/>
            <wp:effectExtent l="0" t="0" r="1905" b="0"/>
            <wp:docPr id="4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71770" cy="3343910"/>
            <wp:effectExtent l="0" t="0" r="11430" b="8890"/>
            <wp:docPr id="4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8595" cy="3131820"/>
            <wp:effectExtent l="0" t="0" r="1905" b="5080"/>
            <wp:docPr id="4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keepNext/>
        <w:keepLines/>
        <w:numPr>
          <w:ilvl w:val="0"/>
          <w:numId w:val="2"/>
        </w:numPr>
        <w:tabs>
          <w:tab w:val="left" w:pos="0"/>
        </w:tabs>
        <w:adjustRightInd w:val="0"/>
        <w:snapToGrid w:val="0"/>
        <w:spacing w:line="500" w:lineRule="exact"/>
        <w:ind w:left="210" w:leftChars="100"/>
        <w:outlineLvl w:val="1"/>
        <w:rPr>
          <w:rFonts w:ascii="Times New Roman" w:hAnsi="Times New Roman" w:eastAsia="仿宋" w:cs="Times New Roman"/>
          <w:kern w:val="44"/>
          <w:sz w:val="32"/>
          <w:szCs w:val="20"/>
        </w:rPr>
      </w:pP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>上传召回计划实施情况报告表（必须上传）</w:t>
      </w:r>
    </w:p>
    <w:p>
      <w:pPr>
        <w:rPr>
          <w:rFonts w:hint="eastAsia"/>
        </w:rPr>
      </w:pPr>
    </w:p>
    <w:p>
      <w:pPr>
        <w:ind w:firstLine="560" w:firstLineChars="200"/>
        <w:rPr>
          <w:rFonts w:hint="eastAsia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将召回计划实施情况报告表签字盖章后，选择“点击上传召回计划实施情况报告表”按钮，点击上传选择签字盖章后的“召回计划实施情况报告表”，点击“确定”，上传成功后再点击提交，如下图所示。</w:t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  <w:r>
        <w:drawing>
          <wp:inline distT="0" distB="0" distL="114300" distR="114300">
            <wp:extent cx="4171950" cy="1949450"/>
            <wp:effectExtent l="0" t="0" r="6350" b="6350"/>
            <wp:docPr id="4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  <w:r>
        <w:drawing>
          <wp:inline distT="0" distB="0" distL="114300" distR="114300">
            <wp:extent cx="5273040" cy="1734185"/>
            <wp:effectExtent l="0" t="0" r="10160" b="5715"/>
            <wp:docPr id="4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  <w:r>
        <w:drawing>
          <wp:inline distT="0" distB="0" distL="114300" distR="114300">
            <wp:extent cx="5269230" cy="1930400"/>
            <wp:effectExtent l="0" t="0" r="1270" b="0"/>
            <wp:docPr id="4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  <w:r>
        <w:drawing>
          <wp:inline distT="0" distB="0" distL="114300" distR="114300">
            <wp:extent cx="5274310" cy="4328160"/>
            <wp:effectExtent l="0" t="0" r="8890" b="2540"/>
            <wp:docPr id="4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6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keepNext/>
        <w:keepLines/>
        <w:numPr>
          <w:ilvl w:val="0"/>
          <w:numId w:val="2"/>
        </w:numPr>
        <w:tabs>
          <w:tab w:val="left" w:pos="0"/>
        </w:tabs>
        <w:adjustRightInd w:val="0"/>
        <w:snapToGrid w:val="0"/>
        <w:spacing w:line="500" w:lineRule="exact"/>
        <w:ind w:left="210" w:leftChars="100"/>
        <w:outlineLvl w:val="1"/>
        <w:rPr>
          <w:rFonts w:ascii="Times New Roman" w:hAnsi="Times New Roman" w:eastAsia="仿宋" w:cs="Times New Roman"/>
          <w:kern w:val="44"/>
          <w:sz w:val="32"/>
          <w:szCs w:val="20"/>
        </w:rPr>
      </w:pP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>进入召回总结评估报告填报页面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继续点击填报，填写召回总结评估报告，如下所示。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71770" cy="1670050"/>
            <wp:effectExtent l="0" t="0" r="11430" b="6350"/>
            <wp:docPr id="4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/>
        <w:keepLines/>
        <w:numPr>
          <w:ilvl w:val="0"/>
          <w:numId w:val="2"/>
        </w:numPr>
        <w:tabs>
          <w:tab w:val="left" w:pos="0"/>
        </w:tabs>
        <w:adjustRightInd w:val="0"/>
        <w:snapToGrid w:val="0"/>
        <w:spacing w:line="500" w:lineRule="exact"/>
        <w:ind w:left="210" w:leftChars="100"/>
        <w:outlineLvl w:val="1"/>
        <w:rPr>
          <w:rFonts w:ascii="Times New Roman" w:hAnsi="Times New Roman" w:eastAsia="仿宋" w:cs="Times New Roman"/>
          <w:kern w:val="44"/>
          <w:sz w:val="32"/>
          <w:szCs w:val="20"/>
        </w:rPr>
      </w:pP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>填写召回总结评估报告</w:t>
      </w:r>
    </w:p>
    <w:p>
      <w:pPr>
        <w:rPr>
          <w:rFonts w:hint="eastAsia"/>
        </w:rPr>
      </w:pP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填写完召回总结评估报告后，点击下方“提交”按钮，如下所示。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0500" cy="2356485"/>
            <wp:effectExtent l="0" t="0" r="0" b="5715"/>
            <wp:docPr id="48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8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keepNext/>
        <w:keepLines/>
        <w:numPr>
          <w:ilvl w:val="0"/>
          <w:numId w:val="2"/>
        </w:numPr>
        <w:tabs>
          <w:tab w:val="left" w:pos="0"/>
        </w:tabs>
        <w:adjustRightInd w:val="0"/>
        <w:snapToGrid w:val="0"/>
        <w:spacing w:line="500" w:lineRule="exact"/>
        <w:ind w:left="210" w:leftChars="100"/>
        <w:outlineLvl w:val="1"/>
        <w:rPr>
          <w:rFonts w:ascii="Times New Roman" w:hAnsi="Times New Roman" w:eastAsia="仿宋" w:cs="Times New Roman"/>
          <w:kern w:val="44"/>
          <w:sz w:val="32"/>
          <w:szCs w:val="20"/>
        </w:rPr>
      </w:pP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>提交召回</w:t>
      </w:r>
    </w:p>
    <w:p>
      <w:pPr>
        <w:rPr>
          <w:rFonts w:hint="eastAsia"/>
        </w:rPr>
      </w:pP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点击“提交”后，会弹出“提示”提交后不能修改，确认无误后，点击“确认”，如下所示。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3515" cy="2780030"/>
            <wp:effectExtent l="0" t="0" r="6985" b="1270"/>
            <wp:docPr id="26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2"/>
        </w:numPr>
        <w:tabs>
          <w:tab w:val="left" w:pos="0"/>
        </w:tabs>
        <w:adjustRightInd w:val="0"/>
        <w:snapToGrid w:val="0"/>
        <w:spacing w:line="500" w:lineRule="exact"/>
        <w:ind w:left="210" w:leftChars="100"/>
        <w:outlineLvl w:val="1"/>
        <w:rPr>
          <w:rFonts w:ascii="Times New Roman" w:hAnsi="Times New Roman" w:eastAsia="仿宋" w:cs="Times New Roman"/>
          <w:kern w:val="44"/>
          <w:sz w:val="32"/>
          <w:szCs w:val="20"/>
        </w:rPr>
      </w:pP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>状态</w:t>
      </w:r>
      <w:r>
        <w:rPr>
          <w:rFonts w:hint="eastAsia" w:ascii="Times New Roman" w:hAnsi="Times New Roman" w:eastAsia="仿宋" w:cs="Times New Roman"/>
          <w:kern w:val="44"/>
          <w:sz w:val="32"/>
          <w:szCs w:val="20"/>
          <w:lang w:val="en-US" w:eastAsia="zh-CN"/>
        </w:rPr>
        <w:t>变更说明</w:t>
      </w:r>
    </w:p>
    <w:p>
      <w:pPr>
        <w:rPr>
          <w:rFonts w:hint="eastAsia"/>
        </w:rPr>
      </w:pPr>
    </w:p>
    <w:p>
      <w:pPr>
        <w:pStyle w:val="6"/>
        <w:spacing w:line="500" w:lineRule="exact"/>
        <w:ind w:left="0" w:firstLine="56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状态“进行中”、“待确认”、“已完成”、“已退回”“去确认”的说明如下：</w:t>
      </w:r>
    </w:p>
    <w:p>
      <w:pPr>
        <w:pStyle w:val="6"/>
        <w:spacing w:line="500" w:lineRule="exact"/>
        <w:ind w:left="0" w:firstLine="56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“进行中”：是指企业正在进行召回的流程，尚未全部提交。</w:t>
      </w:r>
    </w:p>
    <w:p>
      <w:pPr>
        <w:pStyle w:val="6"/>
        <w:spacing w:line="500" w:lineRule="exact"/>
        <w:ind w:left="0" w:firstLine="56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“待确认”：是指企业已经完成了全部的召回流程，并提交完毕，需等待监管人员进行“确认”或“退回”操作。</w:t>
      </w:r>
    </w:p>
    <w:p>
      <w:pPr>
        <w:pStyle w:val="6"/>
        <w:spacing w:line="500" w:lineRule="exact"/>
        <w:ind w:left="0" w:firstLine="56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“已完成”：是指监管人员已经对企业提交的召回进行了“确认”操作，召回流程已完成。</w:t>
      </w:r>
    </w:p>
    <w:p>
      <w:pPr>
        <w:pStyle w:val="6"/>
        <w:spacing w:line="500" w:lineRule="exact"/>
        <w:ind w:left="0" w:firstLine="56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“已退回”：是指监管人员对企业提交的召回进行了“退回”操作，企业可以根据退回意见进行修改后，重新提交。</w:t>
      </w:r>
    </w:p>
    <w:p>
      <w:pPr>
        <w:pStyle w:val="6"/>
        <w:spacing w:line="500" w:lineRule="exact"/>
        <w:ind w:left="0" w:firstLine="56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“去确认”：是指监管人员对企业发布了责令召回通知书，需要企业用户点击“去确认”，确认责令召回通知书。</w:t>
      </w:r>
      <w:bookmarkStart w:id="15" w:name="_GoBack"/>
      <w:bookmarkEnd w:id="15"/>
    </w:p>
    <w:p>
      <w:pPr>
        <w:ind w:firstLine="560" w:firstLineChars="200"/>
        <w:rPr>
          <w:rFonts w:hint="eastAsia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点击“确认”后，跳转到“医疗器械召回管理”列表，可以查看到该召回情况信息，状态为“待确认”（需监管人员进行确认或退回操作）如下所示。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9230" cy="2783840"/>
            <wp:effectExtent l="0" t="0" r="1270" b="10160"/>
            <wp:docPr id="27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keepNext/>
        <w:keepLines/>
        <w:numPr>
          <w:ilvl w:val="0"/>
          <w:numId w:val="2"/>
        </w:numPr>
        <w:tabs>
          <w:tab w:val="left" w:pos="0"/>
        </w:tabs>
        <w:adjustRightInd w:val="0"/>
        <w:snapToGrid w:val="0"/>
        <w:spacing w:line="500" w:lineRule="exact"/>
        <w:ind w:left="210" w:leftChars="100"/>
        <w:outlineLvl w:val="1"/>
        <w:rPr>
          <w:rFonts w:ascii="Times New Roman" w:hAnsi="Times New Roman" w:eastAsia="仿宋" w:cs="Times New Roman"/>
          <w:kern w:val="44"/>
          <w:sz w:val="32"/>
          <w:szCs w:val="20"/>
        </w:rPr>
      </w:pP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>已退回召回需修改后再从第一步重新逐步提交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如果企业填报的主动召回流程被监管端进行“退回”操作，召回状态更新为“已退回”，需企业点击“填报”，根据退回意见进行修改，已退回的召回流程需修改后，再从第一步“召回事件报告”重新逐步提交，如下所示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73040" cy="2662555"/>
            <wp:effectExtent l="0" t="0" r="10160" b="4445"/>
            <wp:docPr id="33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73040" cy="2662555"/>
            <wp:effectExtent l="0" t="0" r="10160" b="4445"/>
            <wp:docPr id="34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/>
        <w:keepLines/>
        <w:numPr>
          <w:ilvl w:val="0"/>
          <w:numId w:val="2"/>
        </w:numPr>
        <w:tabs>
          <w:tab w:val="left" w:pos="0"/>
        </w:tabs>
        <w:adjustRightInd w:val="0"/>
        <w:snapToGrid w:val="0"/>
        <w:spacing w:line="500" w:lineRule="exact"/>
        <w:ind w:left="210" w:leftChars="100"/>
        <w:outlineLvl w:val="1"/>
        <w:rPr>
          <w:rFonts w:ascii="Times New Roman" w:hAnsi="Times New Roman" w:eastAsia="仿宋" w:cs="Times New Roman"/>
          <w:kern w:val="44"/>
          <w:sz w:val="32"/>
          <w:szCs w:val="20"/>
        </w:rPr>
      </w:pP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>查看退回意见</w:t>
      </w:r>
    </w:p>
    <w:p>
      <w:pPr>
        <w:rPr>
          <w:rFonts w:hint="eastAsia"/>
        </w:rPr>
      </w:pPr>
    </w:p>
    <w:p>
      <w:pPr>
        <w:ind w:firstLine="560" w:firstLineChars="200"/>
        <w:rPr>
          <w:rFonts w:hint="eastAsia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可以</w:t>
      </w:r>
      <w:r>
        <w:rPr>
          <w:rFonts w:hint="eastAsia" w:ascii="仿宋_GB2312" w:hAnsi="仿宋_GB2312" w:eastAsia="仿宋_GB2312" w:cs="仿宋_GB2312"/>
          <w:sz w:val="28"/>
          <w:szCs w:val="28"/>
        </w:rPr>
        <w:t>点击“操作记录”，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也可以直接在上方</w:t>
      </w:r>
      <w:r>
        <w:rPr>
          <w:rFonts w:hint="eastAsia" w:ascii="仿宋_GB2312" w:hAnsi="仿宋_GB2312" w:eastAsia="仿宋_GB2312" w:cs="仿宋_GB2312"/>
          <w:sz w:val="28"/>
          <w:szCs w:val="28"/>
        </w:rPr>
        <w:t>查看“退回原因”，根据退回意见进行修改，重新提交，如下所示。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2867025"/>
            <wp:effectExtent l="0" t="0" r="4445" b="3175"/>
            <wp:docPr id="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keepNext/>
        <w:keepLines/>
        <w:numPr>
          <w:ilvl w:val="0"/>
          <w:numId w:val="2"/>
        </w:numPr>
        <w:tabs>
          <w:tab w:val="left" w:pos="0"/>
        </w:tabs>
        <w:adjustRightInd w:val="0"/>
        <w:snapToGrid w:val="0"/>
        <w:spacing w:line="500" w:lineRule="exact"/>
        <w:ind w:left="210" w:leftChars="100"/>
        <w:outlineLvl w:val="1"/>
        <w:rPr>
          <w:rFonts w:ascii="Times New Roman" w:hAnsi="Times New Roman" w:eastAsia="仿宋" w:cs="Times New Roman"/>
          <w:kern w:val="44"/>
          <w:sz w:val="32"/>
          <w:szCs w:val="20"/>
        </w:rPr>
      </w:pP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>召回</w:t>
      </w:r>
      <w:r>
        <w:rPr>
          <w:rFonts w:hint="eastAsia" w:ascii="Times New Roman" w:hAnsi="Times New Roman" w:eastAsia="仿宋" w:cs="Times New Roman"/>
          <w:kern w:val="44"/>
          <w:sz w:val="32"/>
          <w:szCs w:val="20"/>
          <w:lang w:val="en-US" w:eastAsia="zh-CN"/>
        </w:rPr>
        <w:t>完成</w:t>
      </w:r>
    </w:p>
    <w:p>
      <w:pPr>
        <w:rPr>
          <w:rFonts w:hint="eastAsia"/>
        </w:rPr>
      </w:pP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如果企业填报的主动召回流程被监管端进行“确认”操作，召回整体流程才结束，召回状态更新为“已完成”，如下所示。</w:t>
      </w:r>
    </w:p>
    <w:p>
      <w:pPr>
        <w:ind w:firstLine="420" w:firstLineChars="200"/>
      </w:pPr>
      <w:r>
        <w:drawing>
          <wp:inline distT="0" distB="0" distL="114300" distR="114300">
            <wp:extent cx="5273040" cy="2662555"/>
            <wp:effectExtent l="0" t="0" r="10160" b="4445"/>
            <wp:docPr id="32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tabs>
          <w:tab w:val="left" w:pos="420"/>
        </w:tabs>
        <w:adjustRightInd w:val="0"/>
        <w:snapToGrid w:val="0"/>
        <w:spacing w:line="600" w:lineRule="exact"/>
        <w:ind w:left="420" w:leftChars="200"/>
        <w:outlineLvl w:val="0"/>
        <w:rPr>
          <w:rFonts w:ascii="黑体" w:hAnsi="黑体" w:eastAsia="黑体" w:cs="黑体"/>
          <w:kern w:val="44"/>
          <w:sz w:val="44"/>
          <w:szCs w:val="24"/>
        </w:rPr>
      </w:pPr>
      <w:r>
        <w:rPr>
          <w:rFonts w:hint="eastAsia" w:ascii="黑体" w:hAnsi="黑体" w:eastAsia="黑体" w:cs="黑体"/>
          <w:kern w:val="44"/>
          <w:sz w:val="44"/>
          <w:szCs w:val="24"/>
        </w:rPr>
        <w:t>四、接收责令召回通知书</w:t>
      </w:r>
    </w:p>
    <w:p>
      <w:pPr>
        <w:keepNext/>
        <w:keepLines/>
        <w:numPr>
          <w:ilvl w:val="0"/>
          <w:numId w:val="3"/>
        </w:numPr>
        <w:tabs>
          <w:tab w:val="left" w:pos="0"/>
        </w:tabs>
        <w:adjustRightInd w:val="0"/>
        <w:snapToGrid w:val="0"/>
        <w:spacing w:line="500" w:lineRule="exact"/>
        <w:outlineLvl w:val="1"/>
        <w:rPr>
          <w:rFonts w:ascii="Times New Roman" w:hAnsi="Times New Roman" w:eastAsia="仿宋" w:cs="Times New Roman"/>
          <w:kern w:val="44"/>
          <w:sz w:val="32"/>
          <w:szCs w:val="20"/>
        </w:rPr>
      </w:pP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>去确认责令召回通知书</w:t>
      </w:r>
    </w:p>
    <w:p>
      <w:pPr>
        <w:rPr>
          <w:rFonts w:hint="eastAsia"/>
        </w:rPr>
      </w:pP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企业接收到责令召回通知书后，需要点击下方操作列的“去确认”，如下所示。可以预览并下载责令召回通知书。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5274310" cy="2717800"/>
            <wp:effectExtent l="0" t="0" r="8890" b="0"/>
            <wp:docPr id="171490482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904821" name="图片 1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5274310" cy="2092325"/>
            <wp:effectExtent l="0" t="0" r="8890" b="3175"/>
            <wp:docPr id="47443193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431930" name="图片 1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/>
        <w:keepLines/>
        <w:numPr>
          <w:ilvl w:val="0"/>
          <w:numId w:val="3"/>
        </w:numPr>
        <w:tabs>
          <w:tab w:val="left" w:pos="0"/>
        </w:tabs>
        <w:adjustRightInd w:val="0"/>
        <w:snapToGrid w:val="0"/>
        <w:spacing w:line="500" w:lineRule="exact"/>
        <w:outlineLvl w:val="1"/>
        <w:rPr>
          <w:rFonts w:ascii="Times New Roman" w:hAnsi="Times New Roman" w:eastAsia="仿宋" w:cs="Times New Roman"/>
          <w:kern w:val="44"/>
          <w:sz w:val="32"/>
          <w:szCs w:val="20"/>
        </w:rPr>
      </w:pP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>上传责令召回通知书送达回证</w:t>
      </w:r>
    </w:p>
    <w:p>
      <w:pPr>
        <w:rPr>
          <w:rFonts w:hint="eastAsia"/>
        </w:rPr>
      </w:pP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企业填写责令召回通知书送达回证完毕后，需要点击下方“生成责令召回通知书送达回证”，签字盖章后点击上传，如下所示。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5274310" cy="2385060"/>
            <wp:effectExtent l="0" t="0" r="8890" b="2540"/>
            <wp:docPr id="63766092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660921" name="图片 1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5274310" cy="2367280"/>
            <wp:effectExtent l="0" t="0" r="8890" b="7620"/>
            <wp:docPr id="106582462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824627" name="图片 1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</w:p>
    <w:p>
      <w:pPr>
        <w:keepNext/>
        <w:keepLines/>
        <w:numPr>
          <w:ilvl w:val="0"/>
          <w:numId w:val="3"/>
        </w:numPr>
        <w:tabs>
          <w:tab w:val="left" w:pos="0"/>
        </w:tabs>
        <w:adjustRightInd w:val="0"/>
        <w:snapToGrid w:val="0"/>
        <w:spacing w:line="500" w:lineRule="exact"/>
        <w:outlineLvl w:val="1"/>
        <w:rPr>
          <w:rFonts w:ascii="Times New Roman" w:hAnsi="Times New Roman" w:eastAsia="仿宋" w:cs="Times New Roman"/>
          <w:kern w:val="44"/>
          <w:sz w:val="32"/>
          <w:szCs w:val="20"/>
        </w:rPr>
      </w:pP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>确认送达回证信息</w:t>
      </w:r>
    </w:p>
    <w:p>
      <w:pPr>
        <w:rPr>
          <w:rFonts w:hint="eastAsia"/>
        </w:rPr>
      </w:pP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上传完毕后，点击下方“确认”按钮，如下所示。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5274310" cy="2515235"/>
            <wp:effectExtent l="0" t="0" r="8890" b="12065"/>
            <wp:docPr id="516079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0796" name="图片 1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</w:p>
    <w:p>
      <w:pPr>
        <w:keepNext/>
        <w:keepLines/>
        <w:numPr>
          <w:ilvl w:val="0"/>
          <w:numId w:val="3"/>
        </w:numPr>
        <w:tabs>
          <w:tab w:val="left" w:pos="0"/>
        </w:tabs>
        <w:adjustRightInd w:val="0"/>
        <w:snapToGrid w:val="0"/>
        <w:spacing w:line="500" w:lineRule="exact"/>
        <w:outlineLvl w:val="1"/>
        <w:rPr>
          <w:rFonts w:ascii="Times New Roman" w:hAnsi="Times New Roman" w:eastAsia="仿宋" w:cs="Times New Roman"/>
          <w:kern w:val="44"/>
          <w:sz w:val="32"/>
          <w:szCs w:val="20"/>
        </w:rPr>
      </w:pP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>点击详情，继续完成</w:t>
      </w:r>
    </w:p>
    <w:p>
      <w:pPr>
        <w:rPr>
          <w:rFonts w:hint="eastAsia"/>
        </w:rPr>
      </w:pP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确认完毕后，责令召回状态更新为进行中，点击详情，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查看责令召回详情列表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继续点击“填报”，按照填报流程，填报后提交，</w:t>
      </w:r>
      <w:r>
        <w:rPr>
          <w:rFonts w:hint="eastAsia" w:ascii="仿宋_GB2312" w:hAnsi="仿宋_GB2312" w:eastAsia="仿宋_GB2312" w:cs="仿宋_GB2312"/>
          <w:sz w:val="28"/>
          <w:szCs w:val="28"/>
        </w:rPr>
        <w:t>如下所示。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5274310" cy="1355725"/>
            <wp:effectExtent l="0" t="0" r="8890" b="3175"/>
            <wp:docPr id="1105888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8887" name="图片 1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5274310" cy="1337945"/>
            <wp:effectExtent l="0" t="0" r="8890" b="8255"/>
            <wp:docPr id="169239718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97185" name="图片 1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</w:p>
    <w:p/>
    <w:p>
      <w:pPr>
        <w:keepNext/>
        <w:keepLines/>
        <w:tabs>
          <w:tab w:val="left" w:pos="420"/>
        </w:tabs>
        <w:adjustRightInd w:val="0"/>
        <w:snapToGrid w:val="0"/>
        <w:spacing w:line="600" w:lineRule="exact"/>
        <w:ind w:left="420" w:leftChars="200"/>
        <w:outlineLvl w:val="0"/>
        <w:rPr>
          <w:rFonts w:hint="eastAsia" w:ascii="黑体" w:hAnsi="黑体" w:eastAsia="黑体" w:cs="黑体"/>
          <w:kern w:val="44"/>
          <w:sz w:val="44"/>
          <w:szCs w:val="24"/>
        </w:rPr>
      </w:pPr>
      <w:r>
        <w:rPr>
          <w:rFonts w:hint="eastAsia" w:ascii="黑体" w:hAnsi="黑体" w:eastAsia="黑体" w:cs="黑体"/>
          <w:kern w:val="44"/>
          <w:sz w:val="44"/>
          <w:szCs w:val="24"/>
        </w:rPr>
        <w:t>五、运维服务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bookmarkStart w:id="14" w:name="OLE_LINK1"/>
      <w:r>
        <w:rPr>
          <w:rFonts w:hint="eastAsia" w:ascii="仿宋_GB2312" w:hAnsi="仿宋_GB2312" w:eastAsia="仿宋_GB2312" w:cs="仿宋_GB2312"/>
          <w:sz w:val="28"/>
          <w:szCs w:val="28"/>
        </w:rPr>
        <w:t>运维联系人：蔡旭东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运维电话：18171133505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运维QQ群：523551676</w:t>
      </w:r>
    </w:p>
    <w:bookmarkEnd w:id="14"/>
    <w:p>
      <w:pPr>
        <w:rPr>
          <w:rFonts w:hint="eastAsia"/>
        </w:rPr>
      </w:pPr>
    </w:p>
    <w:p/>
    <w:p/>
    <w:p/>
    <w:p/>
    <w:p/>
    <w:p/>
    <w:p/>
    <w:p/>
    <w:p/>
    <w:p/>
    <w:p/>
    <w:p/>
    <w:p/>
    <w:p/>
    <w:p/>
    <w:sectPr>
      <w:pgSz w:w="11906" w:h="16838"/>
      <w:pgMar w:top="1440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F7E63E"/>
    <w:multiLevelType w:val="singleLevel"/>
    <w:tmpl w:val="90F7E63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7A7164A"/>
    <w:multiLevelType w:val="singleLevel"/>
    <w:tmpl w:val="D7A7164A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4CA807B3"/>
    <w:multiLevelType w:val="singleLevel"/>
    <w:tmpl w:val="4CA807B3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225AA0"/>
    <w:rsid w:val="1CB30B27"/>
    <w:rsid w:val="447A1BD2"/>
    <w:rsid w:val="7FFAC17C"/>
    <w:rsid w:val="ADFB0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ody Text"/>
    <w:basedOn w:val="1"/>
    <w:unhideWhenUsed/>
    <w:qFormat/>
    <w:uiPriority w:val="99"/>
    <w:pPr>
      <w:spacing w:after="120"/>
    </w:pPr>
  </w:style>
  <w:style w:type="paragraph" w:customStyle="1" w:styleId="6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35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Office_11.8.2.9980_F1E327BC-269C-435d-A152-05C5408002CA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2026-04-23T15:52:00Z</dcterms:created>
  <dc:creator>86181</dc:creator>
  <cp:lastModifiedBy>ht706</cp:lastModifiedBy>
  <dcterms:modified xsi:type="dcterms:W3CDTF">2026-04-29T10:32:28Z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  <property fmtid="{D5CDD505-2E9C-101B-9397-08002B2CF9AE}" pid="3" name="KSOTemplateDocerSaveRecord">
    <vt:lpwstr>eyJoZGlkIjoiMWU4NjcwYzY0ZTExZWM2YTI1NzIwNTRkMjBiNzkzMzYiLCJ1c2VySWQiOiIxNDY2ODQzODQ0In0=</vt:lpwstr>
  </property>
  <property fmtid="{D5CDD505-2E9C-101B-9397-08002B2CF9AE}" pid="4" name="ICV">
    <vt:lpwstr>9D0ACB8C321C41788D58FC28B9B7C35F_12</vt:lpwstr>
  </property>
</Properties>
</file>