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</w:pPr>
      <w:r>
        <w:rPr>
          <w:rFonts w:hint="eastAsia" w:ascii="仿宋_GB2312" w:hAnsi="宋体" w:eastAsia="仿宋_GB2312" w:cs="仿宋_GB2312"/>
          <w:i w:val="0"/>
          <w:caps w:val="0"/>
          <w:color w:val="333333"/>
          <w:spacing w:val="0"/>
          <w:sz w:val="31"/>
          <w:szCs w:val="31"/>
          <w:shd w:val="clear" w:fill="FFFFFF"/>
          <w:lang w:val="en-US" w:eastAsia="zh-CN"/>
        </w:rPr>
        <w:t>附件2</w:t>
      </w:r>
    </w:p>
    <w:p>
      <w:pPr>
        <w:jc w:val="center"/>
        <w:rPr>
          <w:rFonts w:ascii="仿宋_GB2312" w:hAnsi="仿宋_GB2312" w:eastAsia="仿宋_GB2312" w:cs="仿宋_GB2312"/>
          <w:b/>
          <w:sz w:val="52"/>
          <w:szCs w:val="52"/>
        </w:rPr>
      </w:pPr>
      <w:r>
        <w:rPr>
          <w:rFonts w:hint="eastAsia" w:ascii="仿宋_GB2312" w:hAnsi="仿宋_GB2312" w:eastAsia="仿宋_GB2312" w:cs="仿宋_GB2312"/>
          <w:b/>
          <w:sz w:val="52"/>
          <w:szCs w:val="52"/>
        </w:rPr>
        <w:t>湖北省药品监督管理局</w:t>
      </w:r>
    </w:p>
    <w:p>
      <w:pPr>
        <w:pStyle w:val="3"/>
        <w:ind w:firstLine="1566" w:firstLineChars="300"/>
        <w:rPr>
          <w:rFonts w:hint="eastAsia" w:ascii="黑体" w:hAnsi="黑体" w:eastAsia="黑体" w:cs="黑体"/>
          <w:b/>
          <w:sz w:val="52"/>
          <w:szCs w:val="52"/>
        </w:rPr>
      </w:pPr>
      <w:r>
        <w:rPr>
          <w:rFonts w:hint="eastAsia" w:ascii="仿宋_GB2312" w:hAnsi="仿宋_GB2312" w:eastAsia="仿宋_GB2312" w:cs="仿宋_GB2312"/>
          <w:b/>
          <w:sz w:val="52"/>
          <w:szCs w:val="52"/>
        </w:rPr>
        <w:t>医疗器械召回管理功能模块</w:t>
      </w:r>
    </w:p>
    <w:p>
      <w:pPr>
        <w:jc w:val="center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jc w:val="center"/>
        <w:rPr>
          <w:rFonts w:ascii="仿宋_GB2312" w:hAnsi="仿宋_GB2312" w:eastAsia="仿宋_GB2312" w:cs="仿宋_GB2312"/>
          <w:b/>
          <w:sz w:val="72"/>
          <w:szCs w:val="72"/>
        </w:rPr>
      </w:pPr>
      <w:r>
        <w:rPr>
          <w:rFonts w:hint="eastAsia" w:ascii="仿宋_GB2312" w:hAnsi="仿宋_GB2312" w:eastAsia="仿宋_GB2312" w:cs="仿宋_GB2312"/>
          <w:b/>
          <w:sz w:val="72"/>
          <w:szCs w:val="72"/>
        </w:rPr>
        <w:t>操作手册（监管端）</w:t>
      </w: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rPr>
          <w:rFonts w:hint="eastAsia" w:ascii="黑体" w:hAnsi="黑体" w:eastAsia="黑体" w:cs="黑体"/>
          <w:b/>
          <w:sz w:val="52"/>
          <w:szCs w:val="52"/>
        </w:rPr>
      </w:pPr>
    </w:p>
    <w:p>
      <w:pPr>
        <w:pStyle w:val="3"/>
        <w:jc w:val="center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 xml:space="preserve">   </w:t>
      </w:r>
    </w:p>
    <w:p>
      <w:pPr>
        <w:pStyle w:val="3"/>
        <w:jc w:val="center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pStyle w:val="3"/>
        <w:jc w:val="center"/>
        <w:rPr>
          <w:rFonts w:ascii="仿宋_GB2312" w:hAnsi="仿宋_GB2312" w:eastAsia="仿宋_GB2312" w:cs="仿宋_GB2312"/>
          <w:b/>
          <w:sz w:val="28"/>
          <w:szCs w:val="28"/>
        </w:rPr>
      </w:pPr>
    </w:p>
    <w:p>
      <w:pPr>
        <w:pStyle w:val="3"/>
        <w:ind w:firstLine="1967" w:firstLineChars="700"/>
        <w:jc w:val="both"/>
        <w:rPr>
          <w:rFonts w:hint="eastAsia" w:ascii="仿宋_GB2312" w:hAnsi="仿宋_GB2312" w:eastAsia="仿宋_GB2312" w:cs="仿宋_GB2312"/>
          <w:b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单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位：</w:t>
      </w:r>
      <w:r>
        <w:rPr>
          <w:rFonts w:hint="eastAsia" w:ascii="仿宋_GB2312" w:hAnsi="仿宋_GB2312" w:eastAsia="仿宋_GB2312" w:cs="仿宋_GB2312"/>
          <w:b/>
          <w:kern w:val="2"/>
          <w:sz w:val="28"/>
          <w:szCs w:val="28"/>
          <w:lang w:val="en-US" w:eastAsia="zh-CN" w:bidi="ar-SA"/>
        </w:rPr>
        <w:t>湖北省药品监督管理局</w:t>
      </w:r>
    </w:p>
    <w:p>
      <w:pPr>
        <w:pStyle w:val="3"/>
        <w:ind w:firstLine="1967" w:firstLineChars="700"/>
        <w:rPr>
          <w:rFonts w:hint="eastAsia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日    期：      2026年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月</w:t>
      </w:r>
    </w:p>
    <w:p>
      <w:pPr>
        <w:keepNext/>
        <w:keepLines/>
        <w:numPr>
          <w:ilvl w:val="0"/>
          <w:numId w:val="1"/>
        </w:numPr>
        <w:tabs>
          <w:tab w:val="left" w:pos="420"/>
        </w:tabs>
        <w:adjustRightInd w:val="0"/>
        <w:snapToGrid w:val="0"/>
        <w:spacing w:line="600" w:lineRule="exact"/>
        <w:ind w:left="420" w:leftChars="2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系统环境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操作系统：Windows 系统。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浏览器版本：谷歌、360极速模式。</w:t>
      </w:r>
    </w:p>
    <w:p>
      <w:pPr>
        <w:pStyle w:val="6"/>
        <w:spacing w:line="500" w:lineRule="exact"/>
        <w:ind w:left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显示器分辨率：建议1600*900及以上。</w:t>
      </w:r>
    </w:p>
    <w:p>
      <w:pPr>
        <w:pStyle w:val="6"/>
        <w:spacing w:line="500" w:lineRule="exact"/>
        <w:ind w:left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/>
        <w:keepLines/>
        <w:numPr>
          <w:ilvl w:val="0"/>
          <w:numId w:val="1"/>
        </w:numPr>
        <w:tabs>
          <w:tab w:val="left" w:pos="420"/>
        </w:tabs>
        <w:adjustRightInd w:val="0"/>
        <w:snapToGrid w:val="0"/>
        <w:spacing w:line="600" w:lineRule="exact"/>
        <w:ind w:left="420" w:leftChars="2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登录</w:t>
      </w:r>
    </w:p>
    <w:p>
      <w:pPr>
        <w:pStyle w:val="2"/>
        <w:ind w:firstLine="840" w:firstLineChars="3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在浏览器输入湖北省药品监督管理局官网地址：（互联网）https://mpa.hubei.gov.cn/，点击网站下方“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智慧药监一体化平台</w:t>
      </w:r>
      <w:r>
        <w:rPr>
          <w:rFonts w:hint="eastAsia" w:ascii="仿宋_GB2312" w:hAnsi="仿宋_GB2312" w:eastAsia="仿宋_GB2312" w:cs="仿宋_GB2312"/>
          <w:sz w:val="28"/>
          <w:szCs w:val="28"/>
        </w:rPr>
        <w:t>”，跳转到湖北省智慧药监一体化平台页面，输入用户登录信息进行登录。如图2-1所示。</w:t>
      </w:r>
    </w:p>
    <w:p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562225"/>
            <wp:effectExtent l="0" t="0" r="3810" b="317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2561590"/>
            <wp:effectExtent l="0" t="0" r="12065" b="3810"/>
            <wp:docPr id="14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图2-1湖北省业务平台登录页面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登录成功后，点击“智慧监管中的”“医疗器械智慧监管”按钮，即可进入操作页面，再点击页面中的“召回管理”，如下所示。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71770" cy="2731135"/>
            <wp:effectExtent l="0" t="0" r="11430" b="12065"/>
            <wp:docPr id="1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2780665"/>
            <wp:effectExtent l="0" t="0" r="6985" b="635"/>
            <wp:docPr id="1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420"/>
        </w:tabs>
        <w:adjustRightInd w:val="0"/>
        <w:snapToGrid w:val="0"/>
        <w:spacing w:line="600" w:lineRule="exact"/>
        <w:ind w:firstLine="440" w:firstLineChars="1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召回管理</w:t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召回查看操作</w:t>
      </w: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状态“进行中”、“已提交”、“已完成”、“已退回”的说明如下：</w:t>
      </w: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“进行中”：是指企业正在进行召回的流程，尚未全部提交。</w:t>
      </w:r>
    </w:p>
    <w:p>
      <w:pPr>
        <w:pStyle w:val="6"/>
        <w:spacing w:line="500" w:lineRule="exact"/>
        <w:ind w:left="0" w:firstLine="56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“已提交”：是指企业已经完成了全部的召回流程，并提交完毕。</w:t>
      </w:r>
    </w:p>
    <w:p>
      <w:pPr>
        <w:pStyle w:val="6"/>
        <w:spacing w:line="500" w:lineRule="exact"/>
        <w:ind w:left="0"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“已完成”：是指监管人员已经对企业提交的召回进行了“确认”操作，召回流程已完成。</w:t>
      </w:r>
    </w:p>
    <w:p>
      <w:pPr>
        <w:pStyle w:val="6"/>
        <w:spacing w:line="500" w:lineRule="exact"/>
        <w:ind w:left="0"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“已退回”：是指监管人员对企业提交的召回进行了“退回”操作，企业可以根据退回意见进行修改后，重新提交。</w:t>
      </w:r>
    </w:p>
    <w:p>
      <w:pPr>
        <w:pStyle w:val="6"/>
        <w:spacing w:line="500" w:lineRule="exact"/>
        <w:ind w:left="0"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进入页面后，可以查看到下方的企业召回信息，目前企业召回状态为“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已提交</w:t>
      </w:r>
      <w:r>
        <w:rPr>
          <w:rFonts w:hint="eastAsia" w:ascii="仿宋_GB2312" w:hAnsi="仿宋_GB2312" w:eastAsia="仿宋_GB2312" w:cs="仿宋_GB2312"/>
          <w:sz w:val="28"/>
          <w:szCs w:val="28"/>
        </w:rPr>
        <w:t>”，可以点击“查看”操作。如下图所示。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690" cy="2763520"/>
            <wp:effectExtent l="0" t="0" r="3810" b="5080"/>
            <wp:docPr id="1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2741930"/>
            <wp:effectExtent l="0" t="0" r="2540" b="1270"/>
            <wp:docPr id="2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下载召回事件报告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点击“下载召回事件报告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28"/>
          <w:szCs w:val="28"/>
        </w:rPr>
        <w:t>”按钮，可以下载企业所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上传</w:t>
      </w:r>
      <w:r>
        <w:rPr>
          <w:rFonts w:hint="eastAsia" w:ascii="仿宋_GB2312" w:hAnsi="仿宋_GB2312" w:eastAsia="仿宋_GB2312" w:cs="仿宋_GB2312"/>
          <w:sz w:val="28"/>
          <w:szCs w:val="28"/>
        </w:rPr>
        <w:t>的召回事件报告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28"/>
          <w:szCs w:val="28"/>
        </w:rPr>
        <w:t>。如下图所示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3515" cy="2771775"/>
            <wp:effectExtent l="0" t="0" r="6985" b="9525"/>
            <wp:docPr id="2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点击“下载主动召回信息发布模版”，可以下载主动召回信息发布模版</w:t>
      </w:r>
      <w:r>
        <w:rPr>
          <w:rFonts w:hint="eastAsia" w:ascii="仿宋_GB2312" w:hAnsi="仿宋_GB2312" w:eastAsia="仿宋_GB2312" w:cs="仿宋_GB2312"/>
          <w:sz w:val="28"/>
          <w:szCs w:val="28"/>
        </w:rPr>
        <w:t>。如下图所示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472055"/>
            <wp:effectExtent l="0" t="0" r="3810" b="4445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查看调查评估报告</w:t>
      </w: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点击下一步，可查看下一步的调查评估报告内容。如下图所示。</w:t>
      </w:r>
    </w:p>
    <w:p>
      <w:pPr>
        <w:pStyle w:val="6"/>
        <w:spacing w:line="500" w:lineRule="exact"/>
        <w:ind w:left="0"/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690" cy="2472055"/>
            <wp:effectExtent l="0" t="0" r="3810" b="4445"/>
            <wp:docPr id="1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0975" cy="2737485"/>
            <wp:effectExtent l="0" t="0" r="9525" b="5715"/>
            <wp:docPr id="29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查看召回计划</w:t>
      </w: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监管端继续点击“下一步”，可查看召回计划内容，如下图所示。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3515" cy="2780665"/>
            <wp:effectExtent l="0" t="0" r="6985" b="635"/>
            <wp:docPr id="1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查看召回计划实施情况报告</w:t>
      </w: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监管端继续点击“下一步”，可查看召回计划实施情况报告内容，如下图所示。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055" cy="2762250"/>
            <wp:effectExtent l="0" t="0" r="4445" b="6350"/>
            <wp:docPr id="18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spacing w:line="500" w:lineRule="exac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点击召回实施计划附件，即可下载查看附件内容。</w:t>
      </w:r>
    </w:p>
    <w:p>
      <w:pPr>
        <w:pStyle w:val="6"/>
        <w:spacing w:line="240" w:lineRule="auto"/>
        <w:ind w:left="0" w:firstLine="0" w:firstLineChars="0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9230" cy="2757170"/>
            <wp:effectExtent l="0" t="0" r="1270" b="11430"/>
            <wp:docPr id="1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查看召回总结评估报告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监管端继续点击“下一步”，可查看召回总结评估报告内容，如下图所示。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690" cy="2460625"/>
            <wp:effectExtent l="0" t="0" r="3810" b="3175"/>
            <wp:docPr id="20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查看操作记录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监管端继续点击“操作记录”，可查看企业和监管端的操作记录内容，如下图所示。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3515" cy="1624965"/>
            <wp:effectExtent l="0" t="0" r="6985" b="635"/>
            <wp:docPr id="35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进行确认操作</w:t>
      </w: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前提：当企业完成了全部的召回流程，提交完成后，召回状态显示为“已提交”，此时监管人员才可以进行“确认”操作。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先点击“查看”，</w:t>
      </w:r>
      <w:r>
        <w:rPr>
          <w:rFonts w:hint="eastAsia" w:ascii="仿宋_GB2312" w:hAnsi="仿宋_GB2312" w:eastAsia="仿宋_GB2312" w:cs="仿宋_GB2312"/>
          <w:sz w:val="28"/>
          <w:szCs w:val="28"/>
        </w:rPr>
        <w:t>监管端确认无误后点击“确认”，此时召回状态为“已完成”如下图所示。</w:t>
      </w:r>
    </w:p>
    <w:p>
      <w:pPr>
        <w:rPr>
          <w:rFonts w:hint="eastAsia"/>
        </w:rPr>
      </w:pPr>
    </w:p>
    <w:p/>
    <w:p>
      <w:r>
        <w:drawing>
          <wp:inline distT="0" distB="0" distL="114300" distR="114300">
            <wp:extent cx="5266690" cy="2763520"/>
            <wp:effectExtent l="0" t="0" r="3810" b="5080"/>
            <wp:docPr id="2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2717800"/>
            <wp:effectExtent l="0" t="0" r="1270" b="0"/>
            <wp:docPr id="2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690" cy="2026285"/>
            <wp:effectExtent l="0" t="0" r="3810" b="5715"/>
            <wp:docPr id="2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/>
        <w:keepLines/>
        <w:numPr>
          <w:ilvl w:val="0"/>
          <w:numId w:val="3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  <w:lang w:val="en-US" w:eastAsia="zh-CN"/>
        </w:rPr>
        <w:t>进行</w:t>
      </w: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退回</w:t>
      </w:r>
      <w:r>
        <w:rPr>
          <w:rFonts w:hint="eastAsia" w:ascii="Times New Roman" w:hAnsi="Times New Roman" w:eastAsia="仿宋" w:cs="Times New Roman"/>
          <w:kern w:val="44"/>
          <w:sz w:val="32"/>
          <w:szCs w:val="20"/>
          <w:lang w:val="en-US" w:eastAsia="zh-CN"/>
        </w:rPr>
        <w:t>操作</w:t>
      </w: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监管端需要企业退回重新填报时，需点击“退回”，此时召回状态为“已退回”如下图所示。</w:t>
      </w: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pStyle w:val="6"/>
        <w:ind w:left="0"/>
        <w:rPr>
          <w:rFonts w:hint="eastAsia"/>
        </w:rPr>
      </w:pPr>
      <w:r>
        <w:drawing>
          <wp:inline distT="0" distB="0" distL="114300" distR="114300">
            <wp:extent cx="5269230" cy="2717800"/>
            <wp:effectExtent l="0" t="0" r="1270" b="0"/>
            <wp:docPr id="4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  <w:r>
        <w:drawing>
          <wp:inline distT="0" distB="0" distL="114300" distR="114300">
            <wp:extent cx="5269230" cy="2745740"/>
            <wp:effectExtent l="0" t="0" r="1270" b="10160"/>
            <wp:docPr id="50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keepNext/>
        <w:keepLines/>
        <w:numPr>
          <w:ilvl w:val="0"/>
          <w:numId w:val="2"/>
        </w:numPr>
        <w:tabs>
          <w:tab w:val="left" w:pos="420"/>
        </w:tabs>
        <w:adjustRightInd w:val="0"/>
        <w:snapToGrid w:val="0"/>
        <w:spacing w:line="600" w:lineRule="exact"/>
        <w:ind w:firstLine="440" w:firstLineChars="100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发布责令召回</w:t>
      </w:r>
    </w:p>
    <w:p>
      <w:pPr>
        <w:keepNext/>
        <w:keepLines/>
        <w:numPr>
          <w:ilvl w:val="0"/>
          <w:numId w:val="4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选择责令召回管理菜单的“新增责令召回”</w:t>
      </w:r>
    </w:p>
    <w:p>
      <w:pPr>
        <w:rPr>
          <w:rFonts w:hint="eastAsia"/>
        </w:rPr>
      </w:pPr>
    </w:p>
    <w:p>
      <w:pPr>
        <w:pStyle w:val="6"/>
        <w:spacing w:line="500" w:lineRule="exact"/>
        <w:ind w:left="0"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监管端选择“新增责令召回”，将责令召回信息填写完毕后，可点击下方“保存并下载医疗器械责令召回通知书”打印盖章后可以选择“上传”，也可以直接点击“确认”按钮，如下图所示。</w:t>
      </w:r>
    </w:p>
    <w:p>
      <w:pPr>
        <w:pStyle w:val="6"/>
        <w:ind w:left="0"/>
        <w:rPr>
          <w:rFonts w:hint="eastAsia"/>
        </w:rPr>
      </w:pPr>
      <w:r>
        <w:drawing>
          <wp:inline distT="0" distB="0" distL="114300" distR="114300">
            <wp:extent cx="5264150" cy="2741295"/>
            <wp:effectExtent l="0" t="0" r="6350" b="1905"/>
            <wp:docPr id="5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</w:p>
    <w:p>
      <w:pPr>
        <w:pStyle w:val="6"/>
        <w:ind w:left="0"/>
        <w:rPr>
          <w:rFonts w:hint="eastAsia"/>
        </w:rPr>
      </w:pPr>
      <w:r>
        <w:drawing>
          <wp:inline distT="0" distB="0" distL="114300" distR="114300">
            <wp:extent cx="5269230" cy="3668395"/>
            <wp:effectExtent l="0" t="0" r="1270" b="1905"/>
            <wp:docPr id="5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rPr>
          <w:rFonts w:hint="eastAsia"/>
        </w:rPr>
      </w:pPr>
    </w:p>
    <w:p>
      <w:pPr>
        <w:keepNext/>
        <w:keepLines/>
        <w:numPr>
          <w:ilvl w:val="0"/>
          <w:numId w:val="4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查看责令召回详情</w:t>
      </w:r>
    </w:p>
    <w:p>
      <w:pPr>
        <w:pStyle w:val="6"/>
        <w:spacing w:line="500" w:lineRule="exact"/>
        <w:ind w:left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发布责令召回后，可点击操作栏的“查看详情”，查看责令召回详情列表（如果是一次责令召回多条产品就会显示列表页面，如果是一次责令召回单条产品就会直接跳转到责令召回详情页），如下图所示。</w:t>
      </w:r>
    </w:p>
    <w:p>
      <w:pPr>
        <w:pStyle w:val="6"/>
        <w:spacing w:line="500" w:lineRule="exact"/>
        <w:ind w:left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6"/>
        <w:ind w:left="0"/>
      </w:pPr>
      <w:r>
        <w:drawing>
          <wp:inline distT="0" distB="0" distL="114300" distR="114300">
            <wp:extent cx="5265420" cy="3041015"/>
            <wp:effectExtent l="0" t="0" r="5080" b="6985"/>
            <wp:docPr id="5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</w:pPr>
    </w:p>
    <w:p>
      <w:pPr>
        <w:pStyle w:val="6"/>
        <w:ind w:left="0"/>
      </w:pPr>
    </w:p>
    <w:p>
      <w:pPr>
        <w:pStyle w:val="6"/>
        <w:ind w:left="0"/>
      </w:pPr>
    </w:p>
    <w:p>
      <w:pPr>
        <w:bidi w:val="0"/>
        <w:rPr>
          <w:rFonts w:hint="eastAsia"/>
        </w:rPr>
      </w:pPr>
      <w:r>
        <w:drawing>
          <wp:inline distT="0" distB="0" distL="114300" distR="114300">
            <wp:extent cx="5271135" cy="1546860"/>
            <wp:effectExtent l="0" t="0" r="12065" b="2540"/>
            <wp:docPr id="5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181350"/>
            <wp:effectExtent l="0" t="0" r="6985" b="6350"/>
            <wp:docPr id="5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4"/>
        </w:numPr>
        <w:tabs>
          <w:tab w:val="left" w:pos="0"/>
        </w:tabs>
        <w:adjustRightInd w:val="0"/>
        <w:snapToGrid w:val="0"/>
        <w:spacing w:line="500" w:lineRule="exact"/>
        <w:ind w:left="210" w:leftChars="100"/>
        <w:outlineLvl w:val="1"/>
        <w:rPr>
          <w:rFonts w:ascii="Times New Roman" w:hAnsi="Times New Roman" w:eastAsia="仿宋" w:cs="Times New Roman"/>
          <w:kern w:val="44"/>
          <w:sz w:val="32"/>
          <w:szCs w:val="20"/>
        </w:rPr>
      </w:pPr>
      <w:r>
        <w:rPr>
          <w:rFonts w:hint="eastAsia" w:ascii="Times New Roman" w:hAnsi="Times New Roman" w:eastAsia="仿宋" w:cs="Times New Roman"/>
          <w:kern w:val="44"/>
          <w:sz w:val="32"/>
          <w:szCs w:val="20"/>
        </w:rPr>
        <w:t>查看召回流程</w:t>
      </w:r>
    </w:p>
    <w:p>
      <w:pPr>
        <w:pStyle w:val="6"/>
        <w:spacing w:line="500" w:lineRule="exact"/>
        <w:ind w:left="0"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点击下一步，可以查看企业完成的召回流程，并进行确认或退回操作，如下图所示。</w:t>
      </w:r>
    </w:p>
    <w:p>
      <w:pPr>
        <w:pStyle w:val="6"/>
        <w:spacing w:line="240" w:lineRule="auto"/>
        <w:ind w:left="0" w:firstLine="0" w:firstLineChars="0"/>
      </w:pPr>
      <w:r>
        <w:drawing>
          <wp:inline distT="0" distB="0" distL="0" distR="0">
            <wp:extent cx="5274310" cy="2407285"/>
            <wp:effectExtent l="0" t="0" r="8890" b="5715"/>
            <wp:docPr id="10285738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7389" name="图片 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</w:pPr>
    </w:p>
    <w:p>
      <w:pPr>
        <w:pStyle w:val="6"/>
        <w:spacing w:line="240" w:lineRule="auto"/>
        <w:ind w:left="0" w:firstLine="0" w:firstLineChars="0"/>
        <w:rPr>
          <w:rFonts w:hint="eastAsia"/>
        </w:rPr>
      </w:pPr>
    </w:p>
    <w:p>
      <w:pPr>
        <w:keepNext/>
        <w:keepLines/>
        <w:tabs>
          <w:tab w:val="left" w:pos="420"/>
        </w:tabs>
        <w:adjustRightInd w:val="0"/>
        <w:snapToGrid w:val="0"/>
        <w:spacing w:line="600" w:lineRule="exact"/>
        <w:outlineLvl w:val="0"/>
        <w:rPr>
          <w:rFonts w:hint="eastAsia" w:ascii="黑体" w:hAnsi="黑体" w:eastAsia="黑体" w:cs="黑体"/>
          <w:kern w:val="44"/>
          <w:sz w:val="44"/>
          <w:szCs w:val="24"/>
        </w:rPr>
      </w:pPr>
      <w:r>
        <w:rPr>
          <w:rFonts w:hint="eastAsia" w:ascii="黑体" w:hAnsi="黑体" w:eastAsia="黑体" w:cs="黑体"/>
          <w:kern w:val="44"/>
          <w:sz w:val="44"/>
          <w:szCs w:val="24"/>
        </w:rPr>
        <w:t>五、运维服务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运维联系人：蔡旭东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运维电话：18171133505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运维QQ群：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747473882</w:t>
      </w:r>
    </w:p>
    <w:p>
      <w:pPr>
        <w:pStyle w:val="6"/>
        <w:spacing w:line="500" w:lineRule="exact"/>
        <w:ind w:left="0"/>
        <w:rPr>
          <w:rFonts w:ascii="仿宋_GB2312" w:hAnsi="仿宋_GB2312" w:eastAsia="仿宋_GB2312" w:cs="仿宋_GB2312"/>
          <w:sz w:val="28"/>
          <w:szCs w:val="28"/>
        </w:rPr>
      </w:pPr>
    </w:p>
    <w:p>
      <w:pPr>
        <w:rPr>
          <w:rFonts w:hint="eastAsia"/>
        </w:rPr>
      </w:pPr>
    </w:p>
    <w:p/>
    <w:sectPr>
      <w:pgSz w:w="11906" w:h="16838"/>
      <w:pgMar w:top="144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917B7"/>
    <w:multiLevelType w:val="singleLevel"/>
    <w:tmpl w:val="CAB917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7A7164A"/>
    <w:multiLevelType w:val="singleLevel"/>
    <w:tmpl w:val="D7A7164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9D4F554"/>
    <w:multiLevelType w:val="singleLevel"/>
    <w:tmpl w:val="F9D4F55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2BAA57D"/>
    <w:multiLevelType w:val="singleLevel"/>
    <w:tmpl w:val="02BAA57D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25AA0"/>
    <w:rsid w:val="1CB30B27"/>
    <w:rsid w:val="447A1BD2"/>
    <w:rsid w:val="7B5F75FB"/>
    <w:rsid w:val="7F73F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ody Text"/>
    <w:basedOn w:val="1"/>
    <w:unhideWhenUsed/>
    <w:qFormat/>
    <w:uiPriority w:val="99"/>
    <w:pPr>
      <w:spacing w:after="120"/>
    </w:pPr>
  </w:style>
  <w:style w:type="paragraph" w:customStyle="1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2026-04-23T15:52:00Z</dcterms:created>
  <dc:creator>86181</dc:creator>
  <cp:lastModifiedBy>ht706</cp:lastModifiedBy>
  <dcterms:modified xsi:type="dcterms:W3CDTF">2026-04-29T10:37:53Z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KSOTemplateDocerSaveRecord">
    <vt:lpwstr>eyJoZGlkIjoiMWU4NjcwYzY0ZTExZWM2YTI1NzIwNTRkMjBiNzkzMzYiLCJ1c2VySWQiOiIxNDY2ODQzODQ0In0=</vt:lpwstr>
  </property>
  <property fmtid="{D5CDD505-2E9C-101B-9397-08002B2CF9AE}" pid="4" name="ICV">
    <vt:lpwstr>9D0ACB8C321C41788D58FC28B9B7C35F_12</vt:lpwstr>
  </property>
</Properties>
</file>