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B633C">
      <w:pPr>
        <w:topLinePunct/>
        <w:adjustRightInd w:val="0"/>
        <w:snapToGrid w:val="0"/>
        <w:spacing w:line="360" w:lineRule="auto"/>
        <w:jc w:val="left"/>
        <w:rPr>
          <w:rFonts w:hint="default" w:ascii="Times New Roman" w:hAnsi="Times New Roman" w:eastAsia="黑体" w:cs="黑体"/>
          <w:snapToGrid w:val="0"/>
          <w:color w:val="auto"/>
          <w:kern w:val="0"/>
          <w:sz w:val="28"/>
          <w:szCs w:val="28"/>
          <w:lang w:val="en-US" w:eastAsia="zh-CN"/>
        </w:rPr>
      </w:pPr>
      <w:bookmarkStart w:id="488" w:name="_GoBack"/>
      <w:bookmarkEnd w:id="488"/>
      <w:r>
        <w:rPr>
          <w:rFonts w:hint="eastAsia" w:ascii="Times New Roman" w:hAnsi="Times New Roman" w:eastAsia="黑体" w:cs="黑体"/>
          <w:snapToGrid w:val="0"/>
          <w:color w:val="auto"/>
          <w:kern w:val="0"/>
          <w:sz w:val="28"/>
          <w:szCs w:val="28"/>
          <w:lang w:val="en-US" w:eastAsia="zh-CN"/>
        </w:rPr>
        <w:t>附件1</w:t>
      </w:r>
    </w:p>
    <w:p w14:paraId="076232BE">
      <w:pPr>
        <w:topLinePunct/>
        <w:adjustRightInd w:val="0"/>
        <w:snapToGrid w:val="0"/>
        <w:spacing w:line="360" w:lineRule="auto"/>
        <w:jc w:val="center"/>
        <w:rPr>
          <w:rFonts w:ascii="Times New Roman" w:hAnsi="Times New Roman" w:eastAsia="黑体" w:cs="黑体"/>
          <w:snapToGrid w:val="0"/>
          <w:color w:val="auto"/>
          <w:kern w:val="0"/>
          <w:sz w:val="28"/>
          <w:szCs w:val="28"/>
        </w:rPr>
      </w:pPr>
      <w:r>
        <w:rPr>
          <w:rFonts w:hint="eastAsia" w:ascii="Times New Roman" w:hAnsi="Times New Roman" w:eastAsia="黑体" w:cs="黑体"/>
          <w:snapToGrid w:val="0"/>
          <w:color w:val="auto"/>
          <w:kern w:val="0"/>
          <w:sz w:val="28"/>
          <w:szCs w:val="2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eastAsia="黑体" w:cs="黑体"/>
          <w:snapToGrid w:val="0"/>
          <w:color w:val="auto"/>
          <w:kern w:val="0"/>
          <w:sz w:val="28"/>
          <w:szCs w:val="28"/>
        </w:rPr>
        <w:instrText xml:space="preserve">ADDIN CNKISM.UserStyle</w:instrText>
      </w:r>
      <w:r>
        <w:rPr>
          <w:rFonts w:hint="eastAsia" w:ascii="Times New Roman" w:hAnsi="Times New Roman" w:eastAsia="黑体" w:cs="黑体"/>
          <w:snapToGrid w:val="0"/>
          <w:color w:val="auto"/>
          <w:kern w:val="0"/>
          <w:sz w:val="28"/>
          <w:szCs w:val="28"/>
        </w:rPr>
        <w:fldChar w:fldCharType="end"/>
      </w:r>
      <w:r>
        <w:rPr>
          <w:rFonts w:hint="eastAsia" w:ascii="Times New Roman" w:hAnsi="Times New Roman" w:eastAsia="黑体" w:cs="黑体"/>
          <w:snapToGrid w:val="0"/>
          <w:color w:val="auto"/>
          <w:kern w:val="0"/>
          <w:sz w:val="28"/>
          <w:szCs w:val="28"/>
        </w:rPr>
        <w:t>湖北省医疗机构药品不良反应/事件</w:t>
      </w:r>
      <w:r>
        <w:rPr>
          <w:rFonts w:hint="eastAsia" w:ascii="Times New Roman" w:hAnsi="Times New Roman" w:eastAsia="黑体" w:cs="黑体"/>
          <w:snapToGrid w:val="0"/>
          <w:color w:val="auto"/>
          <w:kern w:val="0"/>
          <w:sz w:val="28"/>
          <w:szCs w:val="28"/>
          <w:lang w:val="en-US" w:eastAsia="zh-CN"/>
        </w:rPr>
        <w:t>收集和</w:t>
      </w:r>
      <w:r>
        <w:rPr>
          <w:rFonts w:hint="eastAsia" w:ascii="Times New Roman" w:hAnsi="Times New Roman" w:eastAsia="黑体" w:cs="黑体"/>
          <w:snapToGrid w:val="0"/>
          <w:color w:val="auto"/>
          <w:kern w:val="0"/>
          <w:sz w:val="28"/>
          <w:szCs w:val="28"/>
        </w:rPr>
        <w:t>报告指南</w:t>
      </w:r>
    </w:p>
    <w:sdt>
      <w:sdtPr>
        <w:rPr>
          <w:rFonts w:ascii="Times New Roman" w:hAnsi="Times New Roman" w:eastAsia="宋体"/>
          <w:color w:val="auto"/>
        </w:rPr>
        <w:id w:val="147463937"/>
        <w15:color w:val="DBDBDB"/>
        <w:docPartObj>
          <w:docPartGallery w:val="Table of Contents"/>
          <w:docPartUnique/>
        </w:docPartObj>
      </w:sdtPr>
      <w:sdtEndPr>
        <w:rPr>
          <w:rFonts w:ascii="Times New Roman" w:hAnsi="Times New Roman" w:eastAsia="宋体"/>
          <w:color w:val="auto"/>
        </w:rPr>
      </w:sdtEndPr>
      <w:sdtContent>
        <w:p w14:paraId="107EC7D5">
          <w:pPr>
            <w:jc w:val="center"/>
            <w:rPr>
              <w:rFonts w:ascii="Times New Roman" w:hAnsi="Times New Roman" w:eastAsia="黑体" w:cs="黑体"/>
              <w:color w:val="auto"/>
              <w:sz w:val="24"/>
            </w:rPr>
          </w:pPr>
          <w:bookmarkStart w:id="0" w:name="_Toc27647"/>
          <w:r>
            <w:rPr>
              <w:rFonts w:hint="eastAsia" w:ascii="Times New Roman" w:hAnsi="Times New Roman" w:eastAsia="黑体" w:cs="黑体"/>
              <w:color w:val="auto"/>
              <w:sz w:val="24"/>
            </w:rPr>
            <w:t>目录</w:t>
          </w:r>
        </w:p>
        <w:p w14:paraId="159BB3A7">
          <w:pPr>
            <w:pStyle w:val="8"/>
            <w:tabs>
              <w:tab w:val="right" w:leader="dot" w:pos="8306"/>
            </w:tabs>
          </w:pPr>
          <w:r>
            <w:rPr>
              <w:rFonts w:ascii="Times New Roman" w:hAnsi="Times New Roman"/>
              <w:color w:val="auto"/>
            </w:rPr>
            <w:fldChar w:fldCharType="begin"/>
          </w:r>
          <w:r>
            <w:rPr>
              <w:rFonts w:ascii="Times New Roman" w:hAnsi="Times New Roman"/>
              <w:color w:val="auto"/>
            </w:rPr>
            <w:instrText xml:space="preserve">TOC \o "1-2" \h \u </w:instrText>
          </w:r>
          <w:r>
            <w:rPr>
              <w:rFonts w:ascii="Times New Roman" w:hAnsi="Times New Roman"/>
              <w:color w:val="auto"/>
            </w:rPr>
            <w:fldChar w:fldCharType="separate"/>
          </w:r>
          <w:r>
            <w:rPr>
              <w:rFonts w:ascii="Times New Roman" w:hAnsi="Times New Roman"/>
              <w:color w:val="auto"/>
            </w:rPr>
            <w:fldChar w:fldCharType="begin"/>
          </w:r>
          <w:r>
            <w:rPr>
              <w:rFonts w:ascii="Times New Roman" w:hAnsi="Times New Roman"/>
            </w:rPr>
            <w:instrText xml:space="preserve"> HYPERLINK \l _Toc30878 </w:instrText>
          </w:r>
          <w:r>
            <w:rPr>
              <w:rFonts w:ascii="Times New Roman" w:hAnsi="Times New Roman"/>
            </w:rPr>
            <w:fldChar w:fldCharType="separate"/>
          </w:r>
          <w:r>
            <w:rPr>
              <w:rFonts w:hint="eastAsia" w:ascii="Times New Roman" w:hAnsi="Times New Roman" w:eastAsia="黑体" w:cs="黑体"/>
              <w:snapToGrid w:val="0"/>
              <w:kern w:val="0"/>
            </w:rPr>
            <w:t>前言</w:t>
          </w:r>
          <w:r>
            <w:tab/>
          </w:r>
          <w:r>
            <w:fldChar w:fldCharType="begin"/>
          </w:r>
          <w:r>
            <w:instrText xml:space="preserve"> PAGEREF _Toc30878 \h </w:instrText>
          </w:r>
          <w:r>
            <w:fldChar w:fldCharType="separate"/>
          </w:r>
          <w:r>
            <w:t>1</w:t>
          </w:r>
          <w:r>
            <w:fldChar w:fldCharType="end"/>
          </w:r>
          <w:r>
            <w:rPr>
              <w:rFonts w:ascii="Times New Roman" w:hAnsi="Times New Roman"/>
              <w:color w:val="auto"/>
            </w:rPr>
            <w:fldChar w:fldCharType="end"/>
          </w:r>
        </w:p>
        <w:p w14:paraId="0F6CBE9E">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_Toc16699 </w:instrText>
          </w:r>
          <w:r>
            <w:rPr>
              <w:rFonts w:ascii="Times New Roman" w:hAnsi="Times New Roman"/>
            </w:rPr>
            <w:fldChar w:fldCharType="separate"/>
          </w:r>
          <w:r>
            <w:rPr>
              <w:rFonts w:hint="eastAsia" w:ascii="Times New Roman" w:hAnsi="Times New Roman" w:eastAsia="黑体" w:cs="黑体"/>
              <w:snapToGrid w:val="0"/>
              <w:kern w:val="0"/>
            </w:rPr>
            <w:t>1 我国ADR监测工作</w:t>
          </w:r>
          <w:r>
            <w:tab/>
          </w:r>
          <w:r>
            <w:fldChar w:fldCharType="begin"/>
          </w:r>
          <w:r>
            <w:instrText xml:space="preserve"> PAGEREF _Toc16699 \h </w:instrText>
          </w:r>
          <w:r>
            <w:fldChar w:fldCharType="separate"/>
          </w:r>
          <w:r>
            <w:t>1</w:t>
          </w:r>
          <w:r>
            <w:fldChar w:fldCharType="end"/>
          </w:r>
          <w:r>
            <w:rPr>
              <w:rFonts w:ascii="Times New Roman" w:hAnsi="Times New Roman"/>
              <w:color w:val="auto"/>
            </w:rPr>
            <w:fldChar w:fldCharType="end"/>
          </w:r>
        </w:p>
        <w:p w14:paraId="7BC5D7B2">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_Toc11395 </w:instrText>
          </w:r>
          <w:r>
            <w:rPr>
              <w:rFonts w:ascii="Times New Roman" w:hAnsi="Times New Roman"/>
            </w:rPr>
            <w:fldChar w:fldCharType="separate"/>
          </w:r>
          <w:r>
            <w:rPr>
              <w:rFonts w:hint="eastAsia" w:ascii="Times New Roman" w:hAnsi="Times New Roman" w:eastAsia="黑体" w:cs="黑体"/>
              <w:snapToGrid w:val="0"/>
              <w:kern w:val="0"/>
              <w:lang w:bidi="ar"/>
            </w:rPr>
            <w:t>1.1</w:t>
          </w:r>
          <w:r>
            <w:rPr>
              <w:rFonts w:hint="eastAsia" w:ascii="Times New Roman" w:hAnsi="Times New Roman" w:eastAsia="黑体" w:cs="黑体"/>
              <w:snapToGrid w:val="0"/>
              <w:kern w:val="0"/>
              <w:lang w:val="en-US" w:eastAsia="zh-CN" w:bidi="ar"/>
            </w:rPr>
            <w:t xml:space="preserve"> </w:t>
          </w:r>
          <w:r>
            <w:rPr>
              <w:rFonts w:hint="eastAsia" w:ascii="Times New Roman" w:hAnsi="Times New Roman" w:eastAsia="黑体" w:cs="黑体"/>
              <w:snapToGrid w:val="0"/>
              <w:kern w:val="0"/>
              <w:lang w:bidi="ar"/>
            </w:rPr>
            <w:t>ADR监测和报告的意义</w:t>
          </w:r>
          <w:r>
            <w:tab/>
          </w:r>
          <w:r>
            <w:fldChar w:fldCharType="begin"/>
          </w:r>
          <w:r>
            <w:instrText xml:space="preserve"> PAGEREF _Toc11395 \h </w:instrText>
          </w:r>
          <w:r>
            <w:fldChar w:fldCharType="separate"/>
          </w:r>
          <w:r>
            <w:t>1</w:t>
          </w:r>
          <w:r>
            <w:fldChar w:fldCharType="end"/>
          </w:r>
          <w:r>
            <w:rPr>
              <w:rFonts w:ascii="Times New Roman" w:hAnsi="Times New Roman"/>
              <w:color w:val="auto"/>
            </w:rPr>
            <w:fldChar w:fldCharType="end"/>
          </w:r>
        </w:p>
        <w:p w14:paraId="6464071A">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_Toc31684 </w:instrText>
          </w:r>
          <w:r>
            <w:rPr>
              <w:rFonts w:ascii="Times New Roman" w:hAnsi="Times New Roman"/>
            </w:rPr>
            <w:fldChar w:fldCharType="separate"/>
          </w:r>
          <w:r>
            <w:rPr>
              <w:rFonts w:hint="eastAsia" w:ascii="Times New Roman" w:hAnsi="Times New Roman" w:eastAsia="黑体" w:cs="黑体"/>
              <w:snapToGrid w:val="0"/>
              <w:kern w:val="0"/>
            </w:rPr>
            <w:t>1.</w:t>
          </w:r>
          <w:r>
            <w:rPr>
              <w:rFonts w:hint="eastAsia" w:ascii="Times New Roman" w:hAnsi="Times New Roman" w:eastAsia="黑体" w:cs="黑体"/>
              <w:snapToGrid w:val="0"/>
              <w:kern w:val="0"/>
              <w:lang w:val="en-US" w:eastAsia="zh-CN"/>
            </w:rPr>
            <w:t>2</w:t>
          </w:r>
          <w:r>
            <w:rPr>
              <w:rFonts w:hint="eastAsia" w:ascii="Times New Roman" w:hAnsi="Times New Roman" w:eastAsia="黑体" w:cs="黑体"/>
              <w:snapToGrid w:val="0"/>
              <w:kern w:val="0"/>
            </w:rPr>
            <w:t xml:space="preserve"> ADR相关法律法规</w:t>
          </w:r>
          <w:r>
            <w:tab/>
          </w:r>
          <w:r>
            <w:fldChar w:fldCharType="begin"/>
          </w:r>
          <w:r>
            <w:instrText xml:space="preserve"> PAGEREF _Toc31684 \h </w:instrText>
          </w:r>
          <w:r>
            <w:fldChar w:fldCharType="separate"/>
          </w:r>
          <w:r>
            <w:t>1</w:t>
          </w:r>
          <w:r>
            <w:fldChar w:fldCharType="end"/>
          </w:r>
          <w:r>
            <w:rPr>
              <w:rFonts w:ascii="Times New Roman" w:hAnsi="Times New Roman"/>
              <w:color w:val="auto"/>
            </w:rPr>
            <w:fldChar w:fldCharType="end"/>
          </w:r>
        </w:p>
        <w:p w14:paraId="5965F05A">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_Toc31081 </w:instrText>
          </w:r>
          <w:r>
            <w:rPr>
              <w:rFonts w:ascii="Times New Roman" w:hAnsi="Times New Roman"/>
            </w:rPr>
            <w:fldChar w:fldCharType="separate"/>
          </w:r>
          <w:r>
            <w:rPr>
              <w:rFonts w:ascii="Times New Roman" w:hAnsi="Times New Roman" w:eastAsia="黑体" w:cs="黑体"/>
              <w:snapToGrid w:val="0"/>
              <w:kern w:val="0"/>
            </w:rPr>
            <w:t>2</w:t>
          </w:r>
          <w:r>
            <w:rPr>
              <w:rFonts w:hint="eastAsia" w:ascii="Times New Roman" w:hAnsi="Times New Roman" w:eastAsia="黑体" w:cs="黑体"/>
              <w:snapToGrid w:val="0"/>
              <w:kern w:val="0"/>
            </w:rPr>
            <w:t xml:space="preserve"> 医疗机构ADR监测和报告工作体系</w:t>
          </w:r>
          <w:r>
            <w:tab/>
          </w:r>
          <w:r>
            <w:fldChar w:fldCharType="begin"/>
          </w:r>
          <w:r>
            <w:instrText xml:space="preserve"> PAGEREF _Toc31081 \h </w:instrText>
          </w:r>
          <w:r>
            <w:fldChar w:fldCharType="separate"/>
          </w:r>
          <w:r>
            <w:t>3</w:t>
          </w:r>
          <w:r>
            <w:fldChar w:fldCharType="end"/>
          </w:r>
          <w:r>
            <w:rPr>
              <w:rFonts w:ascii="Times New Roman" w:hAnsi="Times New Roman"/>
              <w:color w:val="auto"/>
            </w:rPr>
            <w:fldChar w:fldCharType="end"/>
          </w:r>
        </w:p>
        <w:p w14:paraId="3B674DC5">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_Toc8752 </w:instrText>
          </w:r>
          <w:r>
            <w:rPr>
              <w:rFonts w:ascii="Times New Roman" w:hAnsi="Times New Roman"/>
            </w:rPr>
            <w:fldChar w:fldCharType="separate"/>
          </w:r>
          <w:r>
            <w:rPr>
              <w:rFonts w:hint="eastAsia" w:ascii="Times New Roman" w:hAnsi="Times New Roman" w:eastAsia="黑体" w:cs="黑体"/>
              <w:snapToGrid w:val="0"/>
              <w:kern w:val="0"/>
            </w:rPr>
            <w:t>2.1 组织机构</w:t>
          </w:r>
          <w:r>
            <w:tab/>
          </w:r>
          <w:r>
            <w:fldChar w:fldCharType="begin"/>
          </w:r>
          <w:r>
            <w:instrText xml:space="preserve"> PAGEREF _Toc8752 \h </w:instrText>
          </w:r>
          <w:r>
            <w:fldChar w:fldCharType="separate"/>
          </w:r>
          <w:r>
            <w:t>3</w:t>
          </w:r>
          <w:r>
            <w:fldChar w:fldCharType="end"/>
          </w:r>
          <w:r>
            <w:rPr>
              <w:rFonts w:ascii="Times New Roman" w:hAnsi="Times New Roman"/>
              <w:color w:val="auto"/>
            </w:rPr>
            <w:fldChar w:fldCharType="end"/>
          </w:r>
        </w:p>
        <w:p w14:paraId="05001284">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_Toc22246 </w:instrText>
          </w:r>
          <w:r>
            <w:rPr>
              <w:rFonts w:ascii="Times New Roman" w:hAnsi="Times New Roman"/>
            </w:rPr>
            <w:fldChar w:fldCharType="separate"/>
          </w:r>
          <w:r>
            <w:rPr>
              <w:rFonts w:hint="eastAsia" w:ascii="Times New Roman" w:hAnsi="Times New Roman" w:eastAsia="黑体" w:cs="黑体"/>
              <w:snapToGrid w:val="0"/>
              <w:kern w:val="0"/>
            </w:rPr>
            <w:t>2.2 制度建设</w:t>
          </w:r>
          <w:r>
            <w:tab/>
          </w:r>
          <w:r>
            <w:fldChar w:fldCharType="begin"/>
          </w:r>
          <w:r>
            <w:instrText xml:space="preserve"> PAGEREF _Toc22246 \h </w:instrText>
          </w:r>
          <w:r>
            <w:fldChar w:fldCharType="separate"/>
          </w:r>
          <w:r>
            <w:t>3</w:t>
          </w:r>
          <w:r>
            <w:fldChar w:fldCharType="end"/>
          </w:r>
          <w:r>
            <w:rPr>
              <w:rFonts w:ascii="Times New Roman" w:hAnsi="Times New Roman"/>
              <w:color w:val="auto"/>
            </w:rPr>
            <w:fldChar w:fldCharType="end"/>
          </w:r>
        </w:p>
        <w:p w14:paraId="13DA2226">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_Toc12053 </w:instrText>
          </w:r>
          <w:r>
            <w:rPr>
              <w:rFonts w:ascii="Times New Roman" w:hAnsi="Times New Roman"/>
            </w:rPr>
            <w:fldChar w:fldCharType="separate"/>
          </w:r>
          <w:r>
            <w:rPr>
              <w:rFonts w:hint="eastAsia" w:ascii="Times New Roman" w:hAnsi="Times New Roman" w:eastAsia="黑体" w:cs="黑体"/>
              <w:snapToGrid w:val="0"/>
              <w:kern w:val="0"/>
            </w:rPr>
            <w:t>2</w:t>
          </w:r>
          <w:r>
            <w:rPr>
              <w:rFonts w:ascii="Times New Roman" w:hAnsi="Times New Roman" w:eastAsia="黑体" w:cs="黑体"/>
              <w:snapToGrid w:val="0"/>
              <w:kern w:val="0"/>
            </w:rPr>
            <w:t>.</w:t>
          </w:r>
          <w:r>
            <w:rPr>
              <w:rFonts w:hint="eastAsia" w:ascii="Times New Roman" w:hAnsi="Times New Roman" w:eastAsia="黑体" w:cs="黑体"/>
              <w:snapToGrid w:val="0"/>
              <w:kern w:val="0"/>
            </w:rPr>
            <w:t>3 人员配备</w:t>
          </w:r>
          <w:r>
            <w:tab/>
          </w:r>
          <w:r>
            <w:fldChar w:fldCharType="begin"/>
          </w:r>
          <w:r>
            <w:instrText xml:space="preserve"> PAGEREF _Toc12053 \h </w:instrText>
          </w:r>
          <w:r>
            <w:fldChar w:fldCharType="separate"/>
          </w:r>
          <w:r>
            <w:t>3</w:t>
          </w:r>
          <w:r>
            <w:fldChar w:fldCharType="end"/>
          </w:r>
          <w:r>
            <w:rPr>
              <w:rFonts w:ascii="Times New Roman" w:hAnsi="Times New Roman"/>
              <w:color w:val="auto"/>
            </w:rPr>
            <w:fldChar w:fldCharType="end"/>
          </w:r>
        </w:p>
        <w:p w14:paraId="46A3AAA7">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_Toc31043 </w:instrText>
          </w:r>
          <w:r>
            <w:rPr>
              <w:rFonts w:ascii="Times New Roman" w:hAnsi="Times New Roman"/>
            </w:rPr>
            <w:fldChar w:fldCharType="separate"/>
          </w:r>
          <w:r>
            <w:rPr>
              <w:rFonts w:hint="eastAsia" w:ascii="Times New Roman" w:hAnsi="Times New Roman" w:eastAsia="黑体" w:cs="黑体"/>
              <w:snapToGrid w:val="0"/>
              <w:kern w:val="0"/>
            </w:rPr>
            <w:t>2.4 工作职责</w:t>
          </w:r>
          <w:r>
            <w:tab/>
          </w:r>
          <w:r>
            <w:fldChar w:fldCharType="begin"/>
          </w:r>
          <w:r>
            <w:instrText xml:space="preserve"> PAGEREF _Toc31043 \h </w:instrText>
          </w:r>
          <w:r>
            <w:fldChar w:fldCharType="separate"/>
          </w:r>
          <w:r>
            <w:t>4</w:t>
          </w:r>
          <w:r>
            <w:fldChar w:fldCharType="end"/>
          </w:r>
          <w:r>
            <w:rPr>
              <w:rFonts w:ascii="Times New Roman" w:hAnsi="Times New Roman"/>
              <w:color w:val="auto"/>
            </w:rPr>
            <w:fldChar w:fldCharType="end"/>
          </w:r>
        </w:p>
        <w:p w14:paraId="3C4FA9FA">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_Toc16761 </w:instrText>
          </w:r>
          <w:r>
            <w:rPr>
              <w:rFonts w:ascii="Times New Roman" w:hAnsi="Times New Roman"/>
            </w:rPr>
            <w:fldChar w:fldCharType="separate"/>
          </w:r>
          <w:r>
            <w:rPr>
              <w:rFonts w:hint="eastAsia" w:ascii="Times New Roman" w:hAnsi="Times New Roman" w:eastAsia="黑体" w:cs="黑体"/>
              <w:snapToGrid w:val="0"/>
              <w:kern w:val="0"/>
            </w:rPr>
            <w:t>2.5 工作流程</w:t>
          </w:r>
          <w:r>
            <w:tab/>
          </w:r>
          <w:r>
            <w:fldChar w:fldCharType="begin"/>
          </w:r>
          <w:r>
            <w:instrText xml:space="preserve"> PAGEREF _Toc16761 \h </w:instrText>
          </w:r>
          <w:r>
            <w:fldChar w:fldCharType="separate"/>
          </w:r>
          <w:r>
            <w:t>5</w:t>
          </w:r>
          <w:r>
            <w:fldChar w:fldCharType="end"/>
          </w:r>
          <w:r>
            <w:rPr>
              <w:rFonts w:ascii="Times New Roman" w:hAnsi="Times New Roman"/>
              <w:color w:val="auto"/>
            </w:rPr>
            <w:fldChar w:fldCharType="end"/>
          </w:r>
        </w:p>
        <w:p w14:paraId="68ECE40C">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_Toc22474 </w:instrText>
          </w:r>
          <w:r>
            <w:rPr>
              <w:rFonts w:ascii="Times New Roman" w:hAnsi="Times New Roman"/>
            </w:rPr>
            <w:fldChar w:fldCharType="separate"/>
          </w:r>
          <w:r>
            <w:rPr>
              <w:rFonts w:hint="default" w:ascii="Times New Roman" w:hAnsi="Times New Roman" w:eastAsia="黑体" w:cs="黑体"/>
              <w:snapToGrid w:val="0"/>
              <w:kern w:val="0"/>
              <w:lang w:bidi="ar"/>
            </w:rPr>
            <w:t>3 ADR报告时限和范围</w:t>
          </w:r>
          <w:r>
            <w:tab/>
          </w:r>
          <w:r>
            <w:fldChar w:fldCharType="begin"/>
          </w:r>
          <w:r>
            <w:instrText xml:space="preserve"> PAGEREF _Toc22474 \h </w:instrText>
          </w:r>
          <w:r>
            <w:fldChar w:fldCharType="separate"/>
          </w:r>
          <w:r>
            <w:t>6</w:t>
          </w:r>
          <w:r>
            <w:fldChar w:fldCharType="end"/>
          </w:r>
          <w:r>
            <w:rPr>
              <w:rFonts w:ascii="Times New Roman" w:hAnsi="Times New Roman"/>
              <w:color w:val="auto"/>
            </w:rPr>
            <w:fldChar w:fldCharType="end"/>
          </w:r>
        </w:p>
        <w:p w14:paraId="24B0383D">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_Toc24175 </w:instrText>
          </w:r>
          <w:r>
            <w:rPr>
              <w:rFonts w:ascii="Times New Roman" w:hAnsi="Times New Roman"/>
            </w:rPr>
            <w:fldChar w:fldCharType="separate"/>
          </w:r>
          <w:r>
            <w:rPr>
              <w:rFonts w:hint="eastAsia" w:ascii="Times New Roman" w:hAnsi="Times New Roman" w:eastAsia="黑体" w:cs="黑体"/>
              <w:snapToGrid w:val="0"/>
              <w:kern w:val="0"/>
            </w:rPr>
            <w:t>3.1 ADR报告时限有哪些要求？</w:t>
          </w:r>
          <w:r>
            <w:tab/>
          </w:r>
          <w:r>
            <w:fldChar w:fldCharType="begin"/>
          </w:r>
          <w:r>
            <w:instrText xml:space="preserve"> PAGEREF _Toc24175 \h </w:instrText>
          </w:r>
          <w:r>
            <w:fldChar w:fldCharType="separate"/>
          </w:r>
          <w:r>
            <w:t>6</w:t>
          </w:r>
          <w:r>
            <w:fldChar w:fldCharType="end"/>
          </w:r>
          <w:r>
            <w:rPr>
              <w:rFonts w:ascii="Times New Roman" w:hAnsi="Times New Roman"/>
              <w:color w:val="auto"/>
            </w:rPr>
            <w:fldChar w:fldCharType="end"/>
          </w:r>
        </w:p>
        <w:p w14:paraId="365E48FE">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_Toc27241 </w:instrText>
          </w:r>
          <w:r>
            <w:rPr>
              <w:rFonts w:ascii="Times New Roman" w:hAnsi="Times New Roman"/>
            </w:rPr>
            <w:fldChar w:fldCharType="separate"/>
          </w:r>
          <w:r>
            <w:rPr>
              <w:rFonts w:hint="eastAsia" w:ascii="Times New Roman" w:hAnsi="Times New Roman" w:eastAsia="黑体" w:cs="黑体"/>
              <w:snapToGrid w:val="0"/>
              <w:kern w:val="0"/>
            </w:rPr>
            <w:t>3.2 ADR报告范围包括哪些？</w:t>
          </w:r>
          <w:r>
            <w:tab/>
          </w:r>
          <w:r>
            <w:fldChar w:fldCharType="begin"/>
          </w:r>
          <w:r>
            <w:instrText xml:space="preserve"> PAGEREF _Toc27241 \h </w:instrText>
          </w:r>
          <w:r>
            <w:fldChar w:fldCharType="separate"/>
          </w:r>
          <w:r>
            <w:t>6</w:t>
          </w:r>
          <w:r>
            <w:fldChar w:fldCharType="end"/>
          </w:r>
          <w:r>
            <w:rPr>
              <w:rFonts w:ascii="Times New Roman" w:hAnsi="Times New Roman"/>
              <w:color w:val="auto"/>
            </w:rPr>
            <w:fldChar w:fldCharType="end"/>
          </w:r>
        </w:p>
        <w:p w14:paraId="43656437">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_Toc12461 </w:instrText>
          </w:r>
          <w:r>
            <w:rPr>
              <w:rFonts w:ascii="Times New Roman" w:hAnsi="Times New Roman"/>
            </w:rPr>
            <w:fldChar w:fldCharType="separate"/>
          </w:r>
          <w:r>
            <w:rPr>
              <w:rFonts w:hint="eastAsia" w:ascii="Times New Roman" w:hAnsi="Times New Roman" w:eastAsia="黑体" w:cs="黑体"/>
              <w:snapToGrid w:val="0"/>
              <w:kern w:val="0"/>
            </w:rPr>
            <w:t>3.3 疫苗不良反应/事件如何上报？</w:t>
          </w:r>
          <w:r>
            <w:tab/>
          </w:r>
          <w:r>
            <w:fldChar w:fldCharType="begin"/>
          </w:r>
          <w:r>
            <w:instrText xml:space="preserve"> PAGEREF _Toc12461 \h </w:instrText>
          </w:r>
          <w:r>
            <w:fldChar w:fldCharType="separate"/>
          </w:r>
          <w:r>
            <w:t>6</w:t>
          </w:r>
          <w:r>
            <w:fldChar w:fldCharType="end"/>
          </w:r>
          <w:r>
            <w:rPr>
              <w:rFonts w:ascii="Times New Roman" w:hAnsi="Times New Roman"/>
              <w:color w:val="auto"/>
            </w:rPr>
            <w:fldChar w:fldCharType="end"/>
          </w:r>
        </w:p>
        <w:p w14:paraId="4465DF9D">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_Toc378 </w:instrText>
          </w:r>
          <w:r>
            <w:rPr>
              <w:rFonts w:ascii="Times New Roman" w:hAnsi="Times New Roman"/>
            </w:rPr>
            <w:fldChar w:fldCharType="separate"/>
          </w:r>
          <w:r>
            <w:rPr>
              <w:rFonts w:hint="eastAsia" w:ascii="Times New Roman" w:hAnsi="Times New Roman" w:eastAsia="黑体" w:cs="黑体"/>
              <w:snapToGrid w:val="0"/>
              <w:kern w:val="0"/>
            </w:rPr>
            <w:t>3.4 中药饮片及中药配方颗粒不良反应/事件如何上报？</w:t>
          </w:r>
          <w:r>
            <w:tab/>
          </w:r>
          <w:r>
            <w:fldChar w:fldCharType="begin"/>
          </w:r>
          <w:r>
            <w:instrText xml:space="preserve"> PAGEREF _Toc378 \h </w:instrText>
          </w:r>
          <w:r>
            <w:fldChar w:fldCharType="separate"/>
          </w:r>
          <w:r>
            <w:t>7</w:t>
          </w:r>
          <w:r>
            <w:fldChar w:fldCharType="end"/>
          </w:r>
          <w:r>
            <w:rPr>
              <w:rFonts w:ascii="Times New Roman" w:hAnsi="Times New Roman"/>
              <w:color w:val="auto"/>
            </w:rPr>
            <w:fldChar w:fldCharType="end"/>
          </w:r>
        </w:p>
        <w:p w14:paraId="4C9BBF67">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_Toc15803 </w:instrText>
          </w:r>
          <w:r>
            <w:rPr>
              <w:rFonts w:ascii="Times New Roman" w:hAnsi="Times New Roman"/>
            </w:rPr>
            <w:fldChar w:fldCharType="separate"/>
          </w:r>
          <w:r>
            <w:rPr>
              <w:rFonts w:hint="eastAsia" w:ascii="Times New Roman" w:hAnsi="Times New Roman" w:eastAsia="黑体" w:cs="黑体"/>
              <w:snapToGrid w:val="0"/>
              <w:kern w:val="0"/>
            </w:rPr>
            <w:t>3.5 医疗机构制剂不良反应/事件如何上报？</w:t>
          </w:r>
          <w:r>
            <w:tab/>
          </w:r>
          <w:r>
            <w:fldChar w:fldCharType="begin"/>
          </w:r>
          <w:r>
            <w:instrText xml:space="preserve"> PAGEREF _Toc15803 \h </w:instrText>
          </w:r>
          <w:r>
            <w:fldChar w:fldCharType="separate"/>
          </w:r>
          <w:r>
            <w:t>7</w:t>
          </w:r>
          <w:r>
            <w:fldChar w:fldCharType="end"/>
          </w:r>
          <w:r>
            <w:rPr>
              <w:rFonts w:ascii="Times New Roman" w:hAnsi="Times New Roman"/>
              <w:color w:val="auto"/>
            </w:rPr>
            <w:fldChar w:fldCharType="end"/>
          </w:r>
        </w:p>
        <w:p w14:paraId="447C501C">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_Toc28844 </w:instrText>
          </w:r>
          <w:r>
            <w:rPr>
              <w:rFonts w:ascii="Times New Roman" w:hAnsi="Times New Roman"/>
            </w:rPr>
            <w:fldChar w:fldCharType="separate"/>
          </w:r>
          <w:r>
            <w:rPr>
              <w:rFonts w:hint="eastAsia" w:ascii="Times New Roman" w:hAnsi="Times New Roman" w:eastAsia="黑体" w:cs="黑体"/>
              <w:snapToGrid w:val="0"/>
              <w:kern w:val="0"/>
            </w:rPr>
            <w:t>3.6 非药品导致的不良反应/事件可以在国家药品不良反应监测系统上报告吗？</w:t>
          </w:r>
          <w:r>
            <w:tab/>
          </w:r>
          <w:r>
            <w:fldChar w:fldCharType="begin"/>
          </w:r>
          <w:r>
            <w:instrText xml:space="preserve"> PAGEREF _Toc28844 \h </w:instrText>
          </w:r>
          <w:r>
            <w:fldChar w:fldCharType="separate"/>
          </w:r>
          <w:r>
            <w:t>8</w:t>
          </w:r>
          <w:r>
            <w:fldChar w:fldCharType="end"/>
          </w:r>
          <w:r>
            <w:rPr>
              <w:rFonts w:ascii="Times New Roman" w:hAnsi="Times New Roman"/>
              <w:color w:val="auto"/>
            </w:rPr>
            <w:fldChar w:fldCharType="end"/>
          </w:r>
        </w:p>
        <w:p w14:paraId="6E01E293">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_Toc1451 </w:instrText>
          </w:r>
          <w:r>
            <w:rPr>
              <w:rFonts w:ascii="Times New Roman" w:hAnsi="Times New Roman"/>
            </w:rPr>
            <w:fldChar w:fldCharType="separate"/>
          </w:r>
          <w:r>
            <w:rPr>
              <w:rFonts w:hint="default" w:ascii="Times New Roman" w:hAnsi="Times New Roman" w:eastAsia="黑体" w:cs="黑体"/>
              <w:snapToGrid w:val="0"/>
              <w:kern w:val="0"/>
              <w:lang w:bidi="ar"/>
            </w:rPr>
            <w:t>4 国家药品不良反应监测系统操作指南</w:t>
          </w:r>
          <w:r>
            <w:tab/>
          </w:r>
          <w:r>
            <w:fldChar w:fldCharType="begin"/>
          </w:r>
          <w:r>
            <w:instrText xml:space="preserve"> PAGEREF _Toc1451 \h </w:instrText>
          </w:r>
          <w:r>
            <w:fldChar w:fldCharType="separate"/>
          </w:r>
          <w:r>
            <w:t>9</w:t>
          </w:r>
          <w:r>
            <w:fldChar w:fldCharType="end"/>
          </w:r>
          <w:r>
            <w:rPr>
              <w:rFonts w:ascii="Times New Roman" w:hAnsi="Times New Roman"/>
              <w:color w:val="auto"/>
            </w:rPr>
            <w:fldChar w:fldCharType="end"/>
          </w:r>
        </w:p>
        <w:p w14:paraId="62A04B5C">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_Toc20072 </w:instrText>
          </w:r>
          <w:r>
            <w:rPr>
              <w:rFonts w:ascii="Times New Roman" w:hAnsi="Times New Roman"/>
            </w:rPr>
            <w:fldChar w:fldCharType="separate"/>
          </w:r>
          <w:r>
            <w:rPr>
              <w:rFonts w:hint="eastAsia" w:ascii="Times New Roman" w:hAnsi="Times New Roman" w:eastAsia="黑体" w:cs="黑体"/>
              <w:snapToGrid w:val="0"/>
              <w:kern w:val="0"/>
              <w:lang w:bidi="ar"/>
            </w:rPr>
            <w:t>4.1 登录与注册</w:t>
          </w:r>
          <w:r>
            <w:tab/>
          </w:r>
          <w:r>
            <w:fldChar w:fldCharType="begin"/>
          </w:r>
          <w:r>
            <w:instrText xml:space="preserve"> PAGEREF _Toc20072 \h </w:instrText>
          </w:r>
          <w:r>
            <w:fldChar w:fldCharType="separate"/>
          </w:r>
          <w:r>
            <w:t>9</w:t>
          </w:r>
          <w:r>
            <w:fldChar w:fldCharType="end"/>
          </w:r>
          <w:r>
            <w:rPr>
              <w:rFonts w:ascii="Times New Roman" w:hAnsi="Times New Roman"/>
              <w:color w:val="auto"/>
            </w:rPr>
            <w:fldChar w:fldCharType="end"/>
          </w:r>
        </w:p>
        <w:p w14:paraId="22663405">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_Toc27000 </w:instrText>
          </w:r>
          <w:r>
            <w:rPr>
              <w:rFonts w:ascii="Times New Roman" w:hAnsi="Times New Roman"/>
            </w:rPr>
            <w:fldChar w:fldCharType="separate"/>
          </w:r>
          <w:r>
            <w:rPr>
              <w:rFonts w:hint="eastAsia" w:ascii="Times New Roman" w:hAnsi="Times New Roman" w:eastAsia="黑体" w:cs="黑体"/>
              <w:snapToGrid w:val="0"/>
              <w:kern w:val="0"/>
              <w:lang w:bidi="ar"/>
            </w:rPr>
            <w:t>4.2 登录时常见问题</w:t>
          </w:r>
          <w:r>
            <w:tab/>
          </w:r>
          <w:r>
            <w:fldChar w:fldCharType="begin"/>
          </w:r>
          <w:r>
            <w:instrText xml:space="preserve"> PAGEREF _Toc27000 \h </w:instrText>
          </w:r>
          <w:r>
            <w:fldChar w:fldCharType="separate"/>
          </w:r>
          <w:r>
            <w:t>9</w:t>
          </w:r>
          <w:r>
            <w:fldChar w:fldCharType="end"/>
          </w:r>
          <w:r>
            <w:rPr>
              <w:rFonts w:ascii="Times New Roman" w:hAnsi="Times New Roman"/>
              <w:color w:val="auto"/>
            </w:rPr>
            <w:fldChar w:fldCharType="end"/>
          </w:r>
        </w:p>
        <w:p w14:paraId="14D292E6">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_Toc21283 </w:instrText>
          </w:r>
          <w:r>
            <w:rPr>
              <w:rFonts w:ascii="Times New Roman" w:hAnsi="Times New Roman"/>
            </w:rPr>
            <w:fldChar w:fldCharType="separate"/>
          </w:r>
          <w:r>
            <w:rPr>
              <w:rFonts w:hint="eastAsia" w:ascii="Times New Roman" w:hAnsi="Times New Roman" w:eastAsia="黑体" w:cs="黑体"/>
              <w:snapToGrid w:val="0"/>
              <w:kern w:val="0"/>
              <w:lang w:bidi="ar"/>
            </w:rPr>
            <w:t>4.3 个例ADR报告填写要求</w:t>
          </w:r>
          <w:r>
            <w:tab/>
          </w:r>
          <w:r>
            <w:fldChar w:fldCharType="begin"/>
          </w:r>
          <w:r>
            <w:instrText xml:space="preserve"> PAGEREF _Toc21283 \h </w:instrText>
          </w:r>
          <w:r>
            <w:fldChar w:fldCharType="separate"/>
          </w:r>
          <w:r>
            <w:t>10</w:t>
          </w:r>
          <w:r>
            <w:fldChar w:fldCharType="end"/>
          </w:r>
          <w:r>
            <w:rPr>
              <w:rFonts w:ascii="Times New Roman" w:hAnsi="Times New Roman"/>
              <w:color w:val="auto"/>
            </w:rPr>
            <w:fldChar w:fldCharType="end"/>
          </w:r>
        </w:p>
        <w:p w14:paraId="1AA0738F">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_Toc21889 </w:instrText>
          </w:r>
          <w:r>
            <w:rPr>
              <w:rFonts w:ascii="Times New Roman" w:hAnsi="Times New Roman"/>
            </w:rPr>
            <w:fldChar w:fldCharType="separate"/>
          </w:r>
          <w:r>
            <w:rPr>
              <w:rFonts w:hint="default" w:ascii="Times New Roman" w:hAnsi="Times New Roman" w:eastAsia="黑体" w:cs="黑体"/>
              <w:snapToGrid w:val="0"/>
              <w:kern w:val="0"/>
              <w:lang w:bidi="ar"/>
            </w:rPr>
            <w:t>5 药品不良反应聚集性事件报告要求</w:t>
          </w:r>
          <w:r>
            <w:tab/>
          </w:r>
          <w:r>
            <w:fldChar w:fldCharType="begin"/>
          </w:r>
          <w:r>
            <w:instrText xml:space="preserve"> PAGEREF _Toc21889 \h </w:instrText>
          </w:r>
          <w:r>
            <w:fldChar w:fldCharType="separate"/>
          </w:r>
          <w:r>
            <w:t>26</w:t>
          </w:r>
          <w:r>
            <w:fldChar w:fldCharType="end"/>
          </w:r>
          <w:r>
            <w:rPr>
              <w:rFonts w:ascii="Times New Roman" w:hAnsi="Times New Roman"/>
              <w:color w:val="auto"/>
            </w:rPr>
            <w:fldChar w:fldCharType="end"/>
          </w:r>
        </w:p>
        <w:p w14:paraId="32CA5E90">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_Toc124 </w:instrText>
          </w:r>
          <w:r>
            <w:rPr>
              <w:rFonts w:ascii="Times New Roman" w:hAnsi="Times New Roman"/>
            </w:rPr>
            <w:fldChar w:fldCharType="separate"/>
          </w:r>
          <w:r>
            <w:rPr>
              <w:rFonts w:hint="eastAsia" w:ascii="Times New Roman" w:hAnsi="Times New Roman" w:eastAsia="黑体" w:cs="黑体"/>
              <w:snapToGrid w:val="0"/>
              <w:kern w:val="0"/>
              <w:lang w:bidi="ar"/>
            </w:rPr>
            <w:t>6 常见严重药品不良反应的判定标准及案例</w:t>
          </w:r>
          <w:r>
            <w:tab/>
          </w:r>
          <w:r>
            <w:fldChar w:fldCharType="begin"/>
          </w:r>
          <w:r>
            <w:instrText xml:space="preserve"> PAGEREF _Toc124 \h </w:instrText>
          </w:r>
          <w:r>
            <w:fldChar w:fldCharType="separate"/>
          </w:r>
          <w:r>
            <w:t>27</w:t>
          </w:r>
          <w:r>
            <w:fldChar w:fldCharType="end"/>
          </w:r>
          <w:r>
            <w:rPr>
              <w:rFonts w:ascii="Times New Roman" w:hAnsi="Times New Roman"/>
              <w:color w:val="auto"/>
            </w:rPr>
            <w:fldChar w:fldCharType="end"/>
          </w:r>
        </w:p>
        <w:p w14:paraId="3D644D9A">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_Toc22715 </w:instrText>
          </w:r>
          <w:r>
            <w:rPr>
              <w:rFonts w:ascii="Times New Roman" w:hAnsi="Times New Roman"/>
            </w:rPr>
            <w:fldChar w:fldCharType="separate"/>
          </w:r>
          <w:r>
            <w:rPr>
              <w:rFonts w:hint="default" w:ascii="Times New Roman" w:hAnsi="Times New Roman" w:eastAsia="黑体" w:cs="黑体"/>
              <w:snapToGrid w:val="0"/>
              <w:kern w:val="0"/>
              <w:lang w:bidi="ar"/>
            </w:rPr>
            <w:t>6.1 过敏性休克判定评价标准</w:t>
          </w:r>
          <w:r>
            <w:tab/>
          </w:r>
          <w:r>
            <w:fldChar w:fldCharType="begin"/>
          </w:r>
          <w:r>
            <w:instrText xml:space="preserve"> PAGEREF _Toc22715 \h </w:instrText>
          </w:r>
          <w:r>
            <w:fldChar w:fldCharType="separate"/>
          </w:r>
          <w:r>
            <w:t>27</w:t>
          </w:r>
          <w:r>
            <w:fldChar w:fldCharType="end"/>
          </w:r>
          <w:r>
            <w:rPr>
              <w:rFonts w:ascii="Times New Roman" w:hAnsi="Times New Roman"/>
              <w:color w:val="auto"/>
            </w:rPr>
            <w:fldChar w:fldCharType="end"/>
          </w:r>
        </w:p>
        <w:p w14:paraId="5AC8ED66">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_Toc13853 </w:instrText>
          </w:r>
          <w:r>
            <w:rPr>
              <w:rFonts w:ascii="Times New Roman" w:hAnsi="Times New Roman"/>
            </w:rPr>
            <w:fldChar w:fldCharType="separate"/>
          </w:r>
          <w:r>
            <w:rPr>
              <w:rFonts w:hint="default" w:ascii="Times New Roman" w:hAnsi="Times New Roman" w:eastAsia="黑体" w:cs="黑体"/>
              <w:snapToGrid w:val="0"/>
              <w:kern w:val="0"/>
              <w:lang w:bidi="ar"/>
            </w:rPr>
            <w:t>6.2 严重过敏样反应判定评价标准</w:t>
          </w:r>
          <w:r>
            <w:tab/>
          </w:r>
          <w:r>
            <w:fldChar w:fldCharType="begin"/>
          </w:r>
          <w:r>
            <w:instrText xml:space="preserve"> PAGEREF _Toc13853 \h </w:instrText>
          </w:r>
          <w:r>
            <w:fldChar w:fldCharType="separate"/>
          </w:r>
          <w:r>
            <w:t>28</w:t>
          </w:r>
          <w:r>
            <w:fldChar w:fldCharType="end"/>
          </w:r>
          <w:r>
            <w:rPr>
              <w:rFonts w:ascii="Times New Roman" w:hAnsi="Times New Roman"/>
              <w:color w:val="auto"/>
            </w:rPr>
            <w:fldChar w:fldCharType="end"/>
          </w:r>
        </w:p>
        <w:p w14:paraId="5B0892FC">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_Toc22156 </w:instrText>
          </w:r>
          <w:r>
            <w:rPr>
              <w:rFonts w:ascii="Times New Roman" w:hAnsi="Times New Roman"/>
            </w:rPr>
            <w:fldChar w:fldCharType="separate"/>
          </w:r>
          <w:r>
            <w:rPr>
              <w:rFonts w:hint="default" w:ascii="Times New Roman" w:hAnsi="Times New Roman" w:eastAsia="黑体" w:cs="黑体"/>
              <w:snapToGrid w:val="0"/>
              <w:kern w:val="0"/>
              <w:lang w:bidi="ar"/>
            </w:rPr>
            <w:t>6.3 重症药疹判定评价标准</w:t>
          </w:r>
          <w:r>
            <w:tab/>
          </w:r>
          <w:r>
            <w:fldChar w:fldCharType="begin"/>
          </w:r>
          <w:r>
            <w:instrText xml:space="preserve"> PAGEREF _Toc22156 \h </w:instrText>
          </w:r>
          <w:r>
            <w:fldChar w:fldCharType="separate"/>
          </w:r>
          <w:r>
            <w:t>29</w:t>
          </w:r>
          <w:r>
            <w:fldChar w:fldCharType="end"/>
          </w:r>
          <w:r>
            <w:rPr>
              <w:rFonts w:ascii="Times New Roman" w:hAnsi="Times New Roman"/>
              <w:color w:val="auto"/>
            </w:rPr>
            <w:fldChar w:fldCharType="end"/>
          </w:r>
        </w:p>
        <w:p w14:paraId="0D98E35D">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_Toc19116 </w:instrText>
          </w:r>
          <w:r>
            <w:rPr>
              <w:rFonts w:ascii="Times New Roman" w:hAnsi="Times New Roman"/>
            </w:rPr>
            <w:fldChar w:fldCharType="separate"/>
          </w:r>
          <w:r>
            <w:rPr>
              <w:rFonts w:hint="default" w:ascii="Times New Roman" w:hAnsi="Times New Roman" w:eastAsia="黑体" w:cs="黑体"/>
              <w:snapToGrid w:val="0"/>
              <w:kern w:val="0"/>
              <w:lang w:bidi="ar"/>
            </w:rPr>
            <w:t>6.4 药物性肝损害判定评价标准</w:t>
          </w:r>
          <w:r>
            <w:tab/>
          </w:r>
          <w:r>
            <w:fldChar w:fldCharType="begin"/>
          </w:r>
          <w:r>
            <w:instrText xml:space="preserve"> PAGEREF _Toc19116 \h </w:instrText>
          </w:r>
          <w:r>
            <w:fldChar w:fldCharType="separate"/>
          </w:r>
          <w:r>
            <w:t>30</w:t>
          </w:r>
          <w:r>
            <w:fldChar w:fldCharType="end"/>
          </w:r>
          <w:r>
            <w:rPr>
              <w:rFonts w:ascii="Times New Roman" w:hAnsi="Times New Roman"/>
              <w:color w:val="auto"/>
            </w:rPr>
            <w:fldChar w:fldCharType="end"/>
          </w:r>
        </w:p>
        <w:p w14:paraId="478A7B01">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_Toc12403 </w:instrText>
          </w:r>
          <w:r>
            <w:rPr>
              <w:rFonts w:ascii="Times New Roman" w:hAnsi="Times New Roman"/>
            </w:rPr>
            <w:fldChar w:fldCharType="separate"/>
          </w:r>
          <w:r>
            <w:rPr>
              <w:rFonts w:hint="default" w:ascii="Times New Roman" w:hAnsi="Times New Roman" w:eastAsia="黑体" w:cs="黑体"/>
              <w:snapToGrid w:val="0"/>
              <w:kern w:val="0"/>
              <w:lang w:bidi="ar"/>
            </w:rPr>
            <w:t>6.5 药物性肾损害判定评价标准</w:t>
          </w:r>
          <w:r>
            <w:tab/>
          </w:r>
          <w:r>
            <w:fldChar w:fldCharType="begin"/>
          </w:r>
          <w:r>
            <w:instrText xml:space="preserve"> PAGEREF _Toc12403 \h </w:instrText>
          </w:r>
          <w:r>
            <w:fldChar w:fldCharType="separate"/>
          </w:r>
          <w:r>
            <w:t>31</w:t>
          </w:r>
          <w:r>
            <w:fldChar w:fldCharType="end"/>
          </w:r>
          <w:r>
            <w:rPr>
              <w:rFonts w:ascii="Times New Roman" w:hAnsi="Times New Roman"/>
              <w:color w:val="auto"/>
            </w:rPr>
            <w:fldChar w:fldCharType="end"/>
          </w:r>
        </w:p>
        <w:p w14:paraId="73FBCBEB">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_Toc12633 </w:instrText>
          </w:r>
          <w:r>
            <w:rPr>
              <w:rFonts w:ascii="Times New Roman" w:hAnsi="Times New Roman"/>
            </w:rPr>
            <w:fldChar w:fldCharType="separate"/>
          </w:r>
          <w:r>
            <w:rPr>
              <w:rFonts w:hint="default" w:ascii="Times New Roman" w:hAnsi="Times New Roman" w:eastAsia="黑体" w:cs="黑体"/>
              <w:snapToGrid w:val="0"/>
              <w:kern w:val="0"/>
              <w:lang w:bidi="ar"/>
            </w:rPr>
            <w:t>6.6 药物胃肠道不良反应判断评价标准</w:t>
          </w:r>
          <w:r>
            <w:tab/>
          </w:r>
          <w:r>
            <w:fldChar w:fldCharType="begin"/>
          </w:r>
          <w:r>
            <w:instrText xml:space="preserve"> PAGEREF _Toc12633 \h </w:instrText>
          </w:r>
          <w:r>
            <w:fldChar w:fldCharType="separate"/>
          </w:r>
          <w:r>
            <w:t>34</w:t>
          </w:r>
          <w:r>
            <w:fldChar w:fldCharType="end"/>
          </w:r>
          <w:r>
            <w:rPr>
              <w:rFonts w:ascii="Times New Roman" w:hAnsi="Times New Roman"/>
              <w:color w:val="auto"/>
            </w:rPr>
            <w:fldChar w:fldCharType="end"/>
          </w:r>
        </w:p>
        <w:p w14:paraId="2267C596">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_Toc28129 </w:instrText>
          </w:r>
          <w:r>
            <w:rPr>
              <w:rFonts w:ascii="Times New Roman" w:hAnsi="Times New Roman"/>
            </w:rPr>
            <w:fldChar w:fldCharType="separate"/>
          </w:r>
          <w:r>
            <w:rPr>
              <w:rFonts w:hint="default" w:ascii="Times New Roman" w:hAnsi="Times New Roman" w:eastAsia="黑体" w:cs="黑体"/>
              <w:snapToGrid w:val="0"/>
              <w:kern w:val="0"/>
              <w:lang w:bidi="ar"/>
            </w:rPr>
            <w:t>6.7 药物性心律失常的判断评价标准</w:t>
          </w:r>
          <w:r>
            <w:tab/>
          </w:r>
          <w:r>
            <w:fldChar w:fldCharType="begin"/>
          </w:r>
          <w:r>
            <w:instrText xml:space="preserve"> PAGEREF _Toc28129 \h </w:instrText>
          </w:r>
          <w:r>
            <w:fldChar w:fldCharType="separate"/>
          </w:r>
          <w:r>
            <w:t>36</w:t>
          </w:r>
          <w:r>
            <w:fldChar w:fldCharType="end"/>
          </w:r>
          <w:r>
            <w:rPr>
              <w:rFonts w:ascii="Times New Roman" w:hAnsi="Times New Roman"/>
              <w:color w:val="auto"/>
            </w:rPr>
            <w:fldChar w:fldCharType="end"/>
          </w:r>
        </w:p>
        <w:p w14:paraId="5CC42695">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_Toc14541 </w:instrText>
          </w:r>
          <w:r>
            <w:rPr>
              <w:rFonts w:ascii="Times New Roman" w:hAnsi="Times New Roman"/>
            </w:rPr>
            <w:fldChar w:fldCharType="separate"/>
          </w:r>
          <w:r>
            <w:rPr>
              <w:rFonts w:hint="default" w:ascii="Times New Roman" w:hAnsi="Times New Roman" w:eastAsia="黑体" w:cs="黑体"/>
              <w:snapToGrid w:val="0"/>
              <w:kern w:val="0"/>
              <w:lang w:bidi="ar"/>
            </w:rPr>
            <w:t>6.8 血细胞减少判断评价标准</w:t>
          </w:r>
          <w:r>
            <w:tab/>
          </w:r>
          <w:r>
            <w:fldChar w:fldCharType="begin"/>
          </w:r>
          <w:r>
            <w:instrText xml:space="preserve"> PAGEREF _Toc14541 \h </w:instrText>
          </w:r>
          <w:r>
            <w:fldChar w:fldCharType="separate"/>
          </w:r>
          <w:r>
            <w:t>37</w:t>
          </w:r>
          <w:r>
            <w:fldChar w:fldCharType="end"/>
          </w:r>
          <w:r>
            <w:rPr>
              <w:rFonts w:ascii="Times New Roman" w:hAnsi="Times New Roman"/>
              <w:color w:val="auto"/>
            </w:rPr>
            <w:fldChar w:fldCharType="end"/>
          </w:r>
        </w:p>
        <w:p w14:paraId="658EEBFB">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_Toc23538 </w:instrText>
          </w:r>
          <w:r>
            <w:rPr>
              <w:rFonts w:ascii="Times New Roman" w:hAnsi="Times New Roman"/>
            </w:rPr>
            <w:fldChar w:fldCharType="separate"/>
          </w:r>
          <w:r>
            <w:rPr>
              <w:rFonts w:hint="eastAsia" w:ascii="Times New Roman" w:hAnsi="Times New Roman" w:eastAsia="黑体" w:cs="黑体"/>
              <w:snapToGrid w:val="0"/>
              <w:kern w:val="0"/>
              <w:lang w:bidi="ar"/>
            </w:rPr>
            <w:t>7 基于信息技术ADR的监测和报告</w:t>
          </w:r>
          <w:r>
            <w:tab/>
          </w:r>
          <w:r>
            <w:fldChar w:fldCharType="begin"/>
          </w:r>
          <w:r>
            <w:instrText xml:space="preserve"> PAGEREF _Toc23538 \h </w:instrText>
          </w:r>
          <w:r>
            <w:fldChar w:fldCharType="separate"/>
          </w:r>
          <w:r>
            <w:t>39</w:t>
          </w:r>
          <w:r>
            <w:fldChar w:fldCharType="end"/>
          </w:r>
          <w:r>
            <w:rPr>
              <w:rFonts w:ascii="Times New Roman" w:hAnsi="Times New Roman"/>
              <w:color w:val="auto"/>
            </w:rPr>
            <w:fldChar w:fldCharType="end"/>
          </w:r>
        </w:p>
        <w:p w14:paraId="292327DA">
          <w:pPr>
            <w:pStyle w:val="8"/>
            <w:tabs>
              <w:tab w:val="right" w:leader="dot" w:pos="8306"/>
            </w:tabs>
          </w:pPr>
          <w:r>
            <w:rPr>
              <w:rFonts w:ascii="Times New Roman" w:hAnsi="Times New Roman"/>
              <w:color w:val="auto"/>
            </w:rPr>
            <w:fldChar w:fldCharType="begin"/>
          </w:r>
          <w:r>
            <w:rPr>
              <w:rFonts w:ascii="Times New Roman" w:hAnsi="Times New Roman"/>
            </w:rPr>
            <w:instrText xml:space="preserve"> HYPERLINK \l _Toc5754 </w:instrText>
          </w:r>
          <w:r>
            <w:rPr>
              <w:rFonts w:ascii="Times New Roman" w:hAnsi="Times New Roman"/>
            </w:rPr>
            <w:fldChar w:fldCharType="separate"/>
          </w:r>
          <w:r>
            <w:rPr>
              <w:rFonts w:hint="eastAsia" w:ascii="Times New Roman" w:hAnsi="Times New Roman" w:eastAsia="黑体" w:cs="黑体"/>
              <w:snapToGrid w:val="0"/>
              <w:kern w:val="0"/>
              <w:lang w:bidi="ar"/>
            </w:rPr>
            <w:t>8 术语集</w:t>
          </w:r>
          <w:r>
            <w:tab/>
          </w:r>
          <w:r>
            <w:fldChar w:fldCharType="begin"/>
          </w:r>
          <w:r>
            <w:instrText xml:space="preserve"> PAGEREF _Toc5754 \h </w:instrText>
          </w:r>
          <w:r>
            <w:fldChar w:fldCharType="separate"/>
          </w:r>
          <w:r>
            <w:t>40</w:t>
          </w:r>
          <w:r>
            <w:fldChar w:fldCharType="end"/>
          </w:r>
          <w:r>
            <w:rPr>
              <w:rFonts w:ascii="Times New Roman" w:hAnsi="Times New Roman"/>
              <w:color w:val="auto"/>
            </w:rPr>
            <w:fldChar w:fldCharType="end"/>
          </w:r>
        </w:p>
        <w:p w14:paraId="661D73D9">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_Toc11244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 xml:space="preserve">8.1 </w:t>
          </w:r>
          <w:r>
            <w:rPr>
              <w:rFonts w:ascii="Times New Roman" w:hAnsi="Times New Roman" w:eastAsia="宋体" w:cstheme="minorEastAsia"/>
              <w:bCs/>
              <w:snapToGrid w:val="0"/>
              <w:kern w:val="0"/>
              <w:lang w:bidi="ar"/>
            </w:rPr>
            <w:t>药品不良反应</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A</w:t>
          </w:r>
          <w:r>
            <w:rPr>
              <w:rFonts w:hint="eastAsia" w:ascii="Times New Roman" w:hAnsi="Times New Roman" w:eastAsia="宋体" w:cstheme="minorEastAsia"/>
              <w:snapToGrid w:val="0"/>
              <w:kern w:val="0"/>
              <w:lang w:bidi="ar"/>
            </w:rPr>
            <w:t>dverse drug reaction）</w:t>
          </w:r>
          <w:r>
            <w:tab/>
          </w:r>
          <w:r>
            <w:fldChar w:fldCharType="begin"/>
          </w:r>
          <w:r>
            <w:instrText xml:space="preserve"> PAGEREF _Toc11244 \h </w:instrText>
          </w:r>
          <w:r>
            <w:fldChar w:fldCharType="separate"/>
          </w:r>
          <w:r>
            <w:t>40</w:t>
          </w:r>
          <w:r>
            <w:fldChar w:fldCharType="end"/>
          </w:r>
          <w:r>
            <w:rPr>
              <w:rFonts w:ascii="Times New Roman" w:hAnsi="Times New Roman"/>
              <w:color w:val="auto"/>
            </w:rPr>
            <w:fldChar w:fldCharType="end"/>
          </w:r>
        </w:p>
        <w:p w14:paraId="6D2514C3">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_Toc18856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8.2 药品不良事件</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val="en-US" w:eastAsia="zh-CN" w:bidi="ar"/>
            </w:rPr>
            <w:t>A</w:t>
          </w:r>
          <w:r>
            <w:rPr>
              <w:rFonts w:hint="eastAsia" w:ascii="Times New Roman" w:hAnsi="Times New Roman" w:eastAsia="宋体" w:cstheme="minorEastAsia"/>
              <w:snapToGrid w:val="0"/>
              <w:kern w:val="0"/>
              <w:lang w:bidi="ar"/>
            </w:rPr>
            <w:t>dverse drug event）</w:t>
          </w:r>
          <w:r>
            <w:tab/>
          </w:r>
          <w:r>
            <w:fldChar w:fldCharType="begin"/>
          </w:r>
          <w:r>
            <w:instrText xml:space="preserve"> PAGEREF _Toc18856 \h </w:instrText>
          </w:r>
          <w:r>
            <w:fldChar w:fldCharType="separate"/>
          </w:r>
          <w:r>
            <w:t>40</w:t>
          </w:r>
          <w:r>
            <w:fldChar w:fldCharType="end"/>
          </w:r>
          <w:r>
            <w:rPr>
              <w:rFonts w:ascii="Times New Roman" w:hAnsi="Times New Roman"/>
              <w:color w:val="auto"/>
            </w:rPr>
            <w:fldChar w:fldCharType="end"/>
          </w:r>
        </w:p>
        <w:p w14:paraId="735E1C3E">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_Toc3753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8.3 严重药品不良反应</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S</w:t>
          </w:r>
          <w:r>
            <w:rPr>
              <w:rFonts w:hint="eastAsia" w:ascii="Times New Roman" w:hAnsi="Times New Roman" w:eastAsia="宋体" w:cstheme="minorEastAsia"/>
              <w:snapToGrid w:val="0"/>
              <w:kern w:val="0"/>
              <w:lang w:bidi="ar"/>
            </w:rPr>
            <w:t>erious adverse drug reaction）</w:t>
          </w:r>
          <w:r>
            <w:tab/>
          </w:r>
          <w:r>
            <w:fldChar w:fldCharType="begin"/>
          </w:r>
          <w:r>
            <w:instrText xml:space="preserve"> PAGEREF _Toc3753 \h </w:instrText>
          </w:r>
          <w:r>
            <w:fldChar w:fldCharType="separate"/>
          </w:r>
          <w:r>
            <w:t>40</w:t>
          </w:r>
          <w:r>
            <w:fldChar w:fldCharType="end"/>
          </w:r>
          <w:r>
            <w:rPr>
              <w:rFonts w:ascii="Times New Roman" w:hAnsi="Times New Roman"/>
              <w:color w:val="auto"/>
            </w:rPr>
            <w:fldChar w:fldCharType="end"/>
          </w:r>
        </w:p>
        <w:p w14:paraId="235FF612">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_Toc31669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8.4 新的药品不良反应</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N</w:t>
          </w:r>
          <w:r>
            <w:rPr>
              <w:rFonts w:hint="eastAsia" w:ascii="Times New Roman" w:hAnsi="Times New Roman" w:eastAsia="宋体" w:cstheme="minorEastAsia"/>
              <w:snapToGrid w:val="0"/>
              <w:kern w:val="0"/>
              <w:lang w:bidi="ar"/>
            </w:rPr>
            <w:t>ew adverse drug reaction）</w:t>
          </w:r>
          <w:r>
            <w:tab/>
          </w:r>
          <w:r>
            <w:fldChar w:fldCharType="begin"/>
          </w:r>
          <w:r>
            <w:instrText xml:space="preserve"> PAGEREF _Toc31669 \h </w:instrText>
          </w:r>
          <w:r>
            <w:fldChar w:fldCharType="separate"/>
          </w:r>
          <w:r>
            <w:t>41</w:t>
          </w:r>
          <w:r>
            <w:fldChar w:fldCharType="end"/>
          </w:r>
          <w:r>
            <w:rPr>
              <w:rFonts w:ascii="Times New Roman" w:hAnsi="Times New Roman"/>
              <w:color w:val="auto"/>
            </w:rPr>
            <w:fldChar w:fldCharType="end"/>
          </w:r>
        </w:p>
        <w:p w14:paraId="4FD14A58">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_Toc31831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8.5 药品不良反应报告和监测</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A</w:t>
          </w:r>
          <w:r>
            <w:rPr>
              <w:rFonts w:hint="eastAsia" w:ascii="Times New Roman" w:hAnsi="Times New Roman" w:eastAsia="宋体" w:cstheme="minorEastAsia"/>
              <w:snapToGrid w:val="0"/>
              <w:kern w:val="0"/>
              <w:lang w:bidi="ar"/>
            </w:rPr>
            <w:t>dverse drug reaction report and monitor）</w:t>
          </w:r>
          <w:r>
            <w:tab/>
          </w:r>
          <w:r>
            <w:fldChar w:fldCharType="begin"/>
          </w:r>
          <w:r>
            <w:instrText xml:space="preserve"> PAGEREF _Toc31831 \h </w:instrText>
          </w:r>
          <w:r>
            <w:fldChar w:fldCharType="separate"/>
          </w:r>
          <w:r>
            <w:t>41</w:t>
          </w:r>
          <w:r>
            <w:fldChar w:fldCharType="end"/>
          </w:r>
          <w:r>
            <w:rPr>
              <w:rFonts w:ascii="Times New Roman" w:hAnsi="Times New Roman"/>
              <w:color w:val="auto"/>
            </w:rPr>
            <w:fldChar w:fldCharType="end"/>
          </w:r>
        </w:p>
        <w:p w14:paraId="2A0FDBE2">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_Toc28497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8.6 药品群体不良事件</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M</w:t>
          </w:r>
          <w:r>
            <w:rPr>
              <w:rFonts w:hint="eastAsia" w:ascii="Times New Roman" w:hAnsi="Times New Roman" w:eastAsia="宋体" w:cstheme="minorEastAsia"/>
              <w:snapToGrid w:val="0"/>
              <w:kern w:val="0"/>
              <w:lang w:bidi="ar"/>
            </w:rPr>
            <w:t>ass adverse drug events）</w:t>
          </w:r>
          <w:r>
            <w:tab/>
          </w:r>
          <w:r>
            <w:fldChar w:fldCharType="begin"/>
          </w:r>
          <w:r>
            <w:instrText xml:space="preserve"> PAGEREF _Toc28497 \h </w:instrText>
          </w:r>
          <w:r>
            <w:fldChar w:fldCharType="separate"/>
          </w:r>
          <w:r>
            <w:t>41</w:t>
          </w:r>
          <w:r>
            <w:fldChar w:fldCharType="end"/>
          </w:r>
          <w:r>
            <w:rPr>
              <w:rFonts w:ascii="Times New Roman" w:hAnsi="Times New Roman"/>
              <w:color w:val="auto"/>
            </w:rPr>
            <w:fldChar w:fldCharType="end"/>
          </w:r>
        </w:p>
        <w:p w14:paraId="7227044E">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_Toc4915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8.7 药品不良反应聚集性事件</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C</w:t>
          </w:r>
          <w:r>
            <w:rPr>
              <w:rFonts w:hint="eastAsia" w:ascii="Times New Roman" w:hAnsi="Times New Roman" w:eastAsia="宋体" w:cstheme="minorEastAsia"/>
              <w:snapToGrid w:val="0"/>
              <w:kern w:val="0"/>
              <w:lang w:bidi="ar"/>
            </w:rPr>
            <w:t>luster adverse drug events）</w:t>
          </w:r>
          <w:r>
            <w:tab/>
          </w:r>
          <w:r>
            <w:fldChar w:fldCharType="begin"/>
          </w:r>
          <w:r>
            <w:instrText xml:space="preserve"> PAGEREF _Toc4915 \h </w:instrText>
          </w:r>
          <w:r>
            <w:fldChar w:fldCharType="separate"/>
          </w:r>
          <w:r>
            <w:t>41</w:t>
          </w:r>
          <w:r>
            <w:fldChar w:fldCharType="end"/>
          </w:r>
          <w:r>
            <w:rPr>
              <w:rFonts w:ascii="Times New Roman" w:hAnsi="Times New Roman"/>
              <w:color w:val="auto"/>
            </w:rPr>
            <w:fldChar w:fldCharType="end"/>
          </w:r>
        </w:p>
        <w:p w14:paraId="593E46C4">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_Toc24269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8.8 风险信号</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snapToGrid w:val="0"/>
              <w:kern w:val="0"/>
              <w:lang w:eastAsia="zh-CN" w:bidi="ar"/>
            </w:rPr>
            <w:t>R</w:t>
          </w:r>
          <w:r>
            <w:rPr>
              <w:rFonts w:hint="eastAsia" w:ascii="Times New Roman" w:hAnsi="Times New Roman" w:eastAsia="宋体" w:cstheme="minorEastAsia"/>
              <w:snapToGrid w:val="0"/>
              <w:kern w:val="0"/>
              <w:lang w:bidi="ar"/>
            </w:rPr>
            <w:t>isk signal）</w:t>
          </w:r>
          <w:r>
            <w:tab/>
          </w:r>
          <w:r>
            <w:fldChar w:fldCharType="begin"/>
          </w:r>
          <w:r>
            <w:instrText xml:space="preserve"> PAGEREF _Toc24269 \h </w:instrText>
          </w:r>
          <w:r>
            <w:fldChar w:fldCharType="separate"/>
          </w:r>
          <w:r>
            <w:t>41</w:t>
          </w:r>
          <w:r>
            <w:fldChar w:fldCharType="end"/>
          </w:r>
          <w:r>
            <w:rPr>
              <w:rFonts w:ascii="Times New Roman" w:hAnsi="Times New Roman"/>
              <w:color w:val="auto"/>
            </w:rPr>
            <w:fldChar w:fldCharType="end"/>
          </w:r>
        </w:p>
        <w:p w14:paraId="387211A7">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_Toc3373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8.9 药物警戒</w:t>
          </w:r>
          <w:r>
            <w:rPr>
              <w:rFonts w:hint="eastAsia" w:ascii="Times New Roman" w:hAnsi="Times New Roman" w:eastAsia="宋体" w:cstheme="minorEastAsia"/>
              <w:snapToGrid w:val="0"/>
              <w:kern w:val="0"/>
              <w:lang w:bidi="ar"/>
            </w:rPr>
            <w:t>（Pharmacovigilance）</w:t>
          </w:r>
          <w:r>
            <w:tab/>
          </w:r>
          <w:r>
            <w:fldChar w:fldCharType="begin"/>
          </w:r>
          <w:r>
            <w:instrText xml:space="preserve"> PAGEREF _Toc3373 \h </w:instrText>
          </w:r>
          <w:r>
            <w:fldChar w:fldCharType="separate"/>
          </w:r>
          <w:r>
            <w:t>41</w:t>
          </w:r>
          <w:r>
            <w:fldChar w:fldCharType="end"/>
          </w:r>
          <w:r>
            <w:rPr>
              <w:rFonts w:ascii="Times New Roman" w:hAnsi="Times New Roman"/>
              <w:color w:val="auto"/>
            </w:rPr>
            <w:fldChar w:fldCharType="end"/>
          </w:r>
        </w:p>
        <w:p w14:paraId="36A59772">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_Toc27060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8.10 药品上市后安全性研究</w:t>
          </w:r>
          <w:r>
            <w:rPr>
              <w:rFonts w:hint="eastAsia" w:ascii="Times New Roman" w:hAnsi="Times New Roman" w:eastAsia="宋体" w:cstheme="minorEastAsia"/>
              <w:snapToGrid w:val="0"/>
              <w:kern w:val="0"/>
              <w:lang w:bidi="ar"/>
            </w:rPr>
            <w:t>（</w:t>
          </w:r>
          <w:r>
            <w:rPr>
              <w:rFonts w:hint="eastAsia" w:ascii="Times New Roman" w:hAnsi="Times New Roman" w:eastAsia="宋体" w:cstheme="minorEastAsia"/>
              <w:bCs w:val="0"/>
              <w:i w:val="0"/>
              <w:iCs w:val="0"/>
              <w:caps w:val="0"/>
              <w:snapToGrid w:val="0"/>
              <w:spacing w:val="0"/>
              <w:kern w:val="0"/>
              <w:szCs w:val="24"/>
              <w:shd w:val="clear" w:fill="FFFFFF"/>
              <w:vertAlign w:val="baseline"/>
              <w:lang w:bidi="ar"/>
            </w:rPr>
            <w:t>Post-</w:t>
          </w:r>
          <w:r>
            <w:rPr>
              <w:rFonts w:hint="eastAsia" w:ascii="Times New Roman" w:hAnsi="Times New Roman" w:eastAsia="宋体" w:cstheme="minorEastAsia"/>
              <w:bCs w:val="0"/>
              <w:i w:val="0"/>
              <w:iCs w:val="0"/>
              <w:caps w:val="0"/>
              <w:snapToGrid w:val="0"/>
              <w:spacing w:val="0"/>
              <w:kern w:val="0"/>
              <w:szCs w:val="24"/>
              <w:shd w:val="clear" w:fill="FFFFFF"/>
              <w:vertAlign w:val="baseline"/>
              <w:lang w:val="en-US" w:eastAsia="zh-CN" w:bidi="ar"/>
            </w:rPr>
            <w:t>Authorization</w:t>
          </w:r>
          <w:r>
            <w:rPr>
              <w:rFonts w:hint="eastAsia" w:ascii="Times New Roman" w:hAnsi="Times New Roman" w:eastAsia="宋体" w:cstheme="minorEastAsia"/>
              <w:bCs w:val="0"/>
              <w:i w:val="0"/>
              <w:iCs w:val="0"/>
              <w:caps w:val="0"/>
              <w:snapToGrid w:val="0"/>
              <w:spacing w:val="0"/>
              <w:kern w:val="0"/>
              <w:szCs w:val="24"/>
              <w:shd w:val="clear" w:fill="FFFFFF"/>
              <w:vertAlign w:val="baseline"/>
              <w:lang w:bidi="ar"/>
            </w:rPr>
            <w:t xml:space="preserve"> Safety Stud</w:t>
          </w:r>
          <w:r>
            <w:rPr>
              <w:rFonts w:hint="eastAsia" w:ascii="Times New Roman" w:hAnsi="Times New Roman" w:eastAsia="宋体" w:cstheme="minorEastAsia"/>
              <w:bCs w:val="0"/>
              <w:i w:val="0"/>
              <w:iCs w:val="0"/>
              <w:caps w:val="0"/>
              <w:snapToGrid w:val="0"/>
              <w:spacing w:val="0"/>
              <w:kern w:val="0"/>
              <w:szCs w:val="24"/>
              <w:shd w:val="clear" w:fill="FFFFFF"/>
              <w:vertAlign w:val="baseline"/>
              <w:lang w:val="en-US" w:eastAsia="zh-CN" w:bidi="ar"/>
            </w:rPr>
            <w:t>y</w:t>
          </w:r>
          <w:r>
            <w:rPr>
              <w:rFonts w:hint="eastAsia" w:ascii="Times New Roman" w:hAnsi="Times New Roman" w:eastAsia="宋体" w:cstheme="minorEastAsia"/>
              <w:snapToGrid w:val="0"/>
              <w:kern w:val="0"/>
              <w:lang w:bidi="ar"/>
            </w:rPr>
            <w:t>）</w:t>
          </w:r>
          <w:r>
            <w:tab/>
          </w:r>
          <w:r>
            <w:fldChar w:fldCharType="begin"/>
          </w:r>
          <w:r>
            <w:instrText xml:space="preserve"> PAGEREF _Toc27060 \h </w:instrText>
          </w:r>
          <w:r>
            <w:fldChar w:fldCharType="separate"/>
          </w:r>
          <w:r>
            <w:t>41</w:t>
          </w:r>
          <w:r>
            <w:fldChar w:fldCharType="end"/>
          </w:r>
          <w:r>
            <w:rPr>
              <w:rFonts w:ascii="Times New Roman" w:hAnsi="Times New Roman"/>
              <w:color w:val="auto"/>
            </w:rPr>
            <w:fldChar w:fldCharType="end"/>
          </w:r>
        </w:p>
        <w:p w14:paraId="6FF1025D">
          <w:pPr>
            <w:pStyle w:val="9"/>
            <w:tabs>
              <w:tab w:val="right" w:leader="dot" w:pos="8306"/>
            </w:tabs>
          </w:pPr>
          <w:r>
            <w:rPr>
              <w:rFonts w:ascii="Times New Roman" w:hAnsi="Times New Roman"/>
              <w:color w:val="auto"/>
            </w:rPr>
            <w:fldChar w:fldCharType="begin"/>
          </w:r>
          <w:r>
            <w:rPr>
              <w:rFonts w:ascii="Times New Roman" w:hAnsi="Times New Roman"/>
            </w:rPr>
            <w:instrText xml:space="preserve"> HYPERLINK \l _Toc2966 </w:instrText>
          </w:r>
          <w:r>
            <w:rPr>
              <w:rFonts w:ascii="Times New Roman" w:hAnsi="Times New Roman"/>
            </w:rPr>
            <w:fldChar w:fldCharType="separate"/>
          </w:r>
          <w:r>
            <w:rPr>
              <w:rFonts w:hint="eastAsia" w:ascii="Times New Roman" w:hAnsi="Times New Roman" w:eastAsia="宋体" w:cstheme="minorEastAsia"/>
              <w:bCs/>
              <w:snapToGrid w:val="0"/>
              <w:kern w:val="0"/>
              <w:lang w:bidi="ar"/>
            </w:rPr>
            <w:t xml:space="preserve">8.11 </w:t>
          </w:r>
          <w:r>
            <w:rPr>
              <w:rFonts w:ascii="Times New Roman" w:hAnsi="Times New Roman" w:eastAsia="宋体" w:cstheme="minorEastAsia"/>
              <w:bCs/>
              <w:snapToGrid w:val="0"/>
              <w:kern w:val="0"/>
              <w:lang w:bidi="ar"/>
            </w:rPr>
            <w:t>其他观察</w:t>
          </w:r>
          <w:r>
            <w:rPr>
              <w:rFonts w:hint="eastAsia" w:ascii="Times New Roman" w:hAnsi="Times New Roman" w:eastAsia="宋体" w:cstheme="minorEastAsia"/>
              <w:snapToGrid w:val="0"/>
              <w:kern w:val="0"/>
              <w:lang w:bidi="ar"/>
            </w:rPr>
            <w:t>（</w:t>
          </w:r>
          <w:r>
            <w:rPr>
              <w:rFonts w:ascii="Times New Roman" w:hAnsi="Times New Roman" w:eastAsia="宋体" w:cstheme="minorEastAsia"/>
              <w:snapToGrid w:val="0"/>
              <w:kern w:val="0"/>
              <w:lang w:bidi="ar"/>
            </w:rPr>
            <w:t>Other Observations</w:t>
          </w:r>
          <w:r>
            <w:rPr>
              <w:rFonts w:hint="eastAsia" w:ascii="Times New Roman" w:hAnsi="Times New Roman" w:eastAsia="宋体" w:cstheme="minorEastAsia"/>
              <w:snapToGrid w:val="0"/>
              <w:kern w:val="0"/>
              <w:lang w:bidi="ar"/>
            </w:rPr>
            <w:t>）</w:t>
          </w:r>
          <w:r>
            <w:tab/>
          </w:r>
          <w:r>
            <w:fldChar w:fldCharType="begin"/>
          </w:r>
          <w:r>
            <w:instrText xml:space="preserve"> PAGEREF _Toc2966 \h </w:instrText>
          </w:r>
          <w:r>
            <w:fldChar w:fldCharType="separate"/>
          </w:r>
          <w:r>
            <w:t>41</w:t>
          </w:r>
          <w:r>
            <w:fldChar w:fldCharType="end"/>
          </w:r>
          <w:r>
            <w:rPr>
              <w:rFonts w:ascii="Times New Roman" w:hAnsi="Times New Roman"/>
              <w:color w:val="auto"/>
            </w:rPr>
            <w:fldChar w:fldCharType="end"/>
          </w:r>
        </w:p>
        <w:p w14:paraId="5E0E7701">
          <w:pPr>
            <w:topLinePunct/>
            <w:adjustRightInd w:val="0"/>
            <w:snapToGrid w:val="0"/>
            <w:spacing w:line="360" w:lineRule="auto"/>
            <w:outlineLvl w:val="0"/>
            <w:rPr>
              <w:rFonts w:ascii="Times New Roman" w:hAnsi="Times New Roman" w:eastAsia="黑体" w:cs="黑体"/>
              <w:snapToGrid w:val="0"/>
              <w:color w:val="auto"/>
              <w:kern w:val="0"/>
              <w:sz w:val="24"/>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color w:val="auto"/>
            </w:rPr>
            <w:fldChar w:fldCharType="end"/>
          </w:r>
        </w:p>
      </w:sdtContent>
    </w:sdt>
    <w:p w14:paraId="260A8C3E">
      <w:pPr>
        <w:topLinePunct/>
        <w:adjustRightInd w:val="0"/>
        <w:snapToGrid w:val="0"/>
        <w:spacing w:line="360" w:lineRule="auto"/>
        <w:outlineLvl w:val="0"/>
        <w:rPr>
          <w:rFonts w:ascii="Times New Roman" w:hAnsi="Times New Roman" w:eastAsia="黑体" w:cs="黑体"/>
          <w:snapToGrid w:val="0"/>
          <w:color w:val="auto"/>
          <w:kern w:val="0"/>
          <w:sz w:val="24"/>
        </w:rPr>
      </w:pPr>
      <w:bookmarkStart w:id="1" w:name="_Toc1369"/>
      <w:bookmarkStart w:id="2" w:name="_Toc30878"/>
      <w:bookmarkStart w:id="3" w:name="_Toc2061"/>
      <w:bookmarkStart w:id="4" w:name="_Toc7314"/>
      <w:bookmarkStart w:id="5" w:name="_Toc1824"/>
      <w:bookmarkStart w:id="6" w:name="_Toc17264"/>
      <w:bookmarkStart w:id="7" w:name="_Toc13109"/>
      <w:bookmarkStart w:id="8" w:name="_Toc14898"/>
      <w:bookmarkStart w:id="9" w:name="_Toc30314"/>
      <w:bookmarkStart w:id="10" w:name="_Toc13699"/>
      <w:r>
        <w:rPr>
          <w:rFonts w:hint="eastAsia" w:ascii="Times New Roman" w:hAnsi="Times New Roman" w:eastAsia="黑体" w:cs="黑体"/>
          <w:snapToGrid w:val="0"/>
          <w:color w:val="auto"/>
          <w:kern w:val="0"/>
          <w:sz w:val="24"/>
        </w:rPr>
        <w:t>前言</w:t>
      </w:r>
      <w:bookmarkEnd w:id="0"/>
      <w:bookmarkEnd w:id="1"/>
      <w:bookmarkEnd w:id="2"/>
      <w:bookmarkEnd w:id="3"/>
      <w:bookmarkEnd w:id="4"/>
      <w:bookmarkEnd w:id="5"/>
      <w:bookmarkEnd w:id="6"/>
      <w:bookmarkEnd w:id="7"/>
      <w:bookmarkEnd w:id="8"/>
      <w:bookmarkEnd w:id="9"/>
      <w:bookmarkEnd w:id="10"/>
    </w:p>
    <w:p w14:paraId="0155563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药品不良反应</w:t>
      </w:r>
      <w:r>
        <w:rPr>
          <w:rFonts w:hint="eastAsia" w:ascii="Times New Roman" w:hAnsi="Times New Roman" w:eastAsia="宋体" w:cstheme="minorEastAsia"/>
          <w:snapToGrid w:val="0"/>
          <w:color w:val="auto"/>
          <w:kern w:val="0"/>
          <w:sz w:val="24"/>
          <w:lang w:bidi="ar"/>
        </w:rPr>
        <w:t>（adverse drug reaction，ADR）</w:t>
      </w:r>
      <w:r>
        <w:rPr>
          <w:rFonts w:ascii="Times New Roman" w:hAnsi="Times New Roman" w:eastAsia="宋体" w:cstheme="minorEastAsia"/>
          <w:snapToGrid w:val="0"/>
          <w:color w:val="auto"/>
          <w:kern w:val="0"/>
          <w:sz w:val="24"/>
          <w:lang w:bidi="ar"/>
        </w:rPr>
        <w:t>是指合格药品在正常用法用量下出现的与用药目的无关的有害反应。</w:t>
      </w:r>
      <w:r>
        <w:rPr>
          <w:rFonts w:hint="eastAsia" w:ascii="Times New Roman" w:hAnsi="Times New Roman" w:eastAsia="宋体" w:cstheme="minorEastAsia"/>
          <w:snapToGrid w:val="0"/>
          <w:color w:val="auto"/>
          <w:kern w:val="0"/>
          <w:sz w:val="24"/>
          <w:lang w:bidi="ar"/>
        </w:rPr>
        <w:t>药品不良事件（adverse drug event，ADE）是指药品治疗过程中所发生的任何不良的医疗卫生事件，按照事件产生成因，分类为药品标准缺陷、药品质量问题、ADR、用药错误以及药品滥用等事件。当患者使用药品出现ADR及其他与用药有关的有害反应，且无法排除该反应与药品之间存在的相关性时，均应遵循“可疑即报”的原则进行报告。ADR报告和监测是药品不良反应的发现、报告、评价和控制的过程。ADR报告的内容和统计资料是加强药品监督管理、指导合理用药的重要依据。202</w:t>
      </w:r>
      <w:r>
        <w:rPr>
          <w:rFonts w:hint="eastAsia" w:ascii="Times New Roman" w:hAnsi="Times New Roman" w:eastAsia="宋体" w:cstheme="minorEastAsia"/>
          <w:snapToGrid w:val="0"/>
          <w:color w:val="auto"/>
          <w:kern w:val="0"/>
          <w:sz w:val="24"/>
          <w:lang w:val="en-US" w:eastAsia="zh-CN" w:bidi="ar"/>
        </w:rPr>
        <w:t>3</w:t>
      </w:r>
      <w:r>
        <w:rPr>
          <w:rFonts w:hint="eastAsia" w:ascii="Times New Roman" w:hAnsi="Times New Roman" w:eastAsia="宋体" w:cstheme="minorEastAsia"/>
          <w:snapToGrid w:val="0"/>
          <w:color w:val="auto"/>
          <w:kern w:val="0"/>
          <w:sz w:val="24"/>
          <w:lang w:bidi="ar"/>
        </w:rPr>
        <w:t>年</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202</w:t>
      </w:r>
      <w:r>
        <w:rPr>
          <w:rFonts w:hint="eastAsia" w:ascii="Times New Roman" w:hAnsi="Times New Roman" w:eastAsia="宋体" w:cstheme="minorEastAsia"/>
          <w:snapToGrid w:val="0"/>
          <w:color w:val="auto"/>
          <w:kern w:val="0"/>
          <w:sz w:val="24"/>
          <w:lang w:val="en-US" w:eastAsia="zh-CN" w:bidi="ar"/>
        </w:rPr>
        <w:t>5</w:t>
      </w:r>
      <w:r>
        <w:rPr>
          <w:rFonts w:hint="eastAsia" w:ascii="Times New Roman" w:hAnsi="Times New Roman" w:eastAsia="宋体" w:cstheme="minorEastAsia"/>
          <w:snapToGrid w:val="0"/>
          <w:color w:val="auto"/>
          <w:kern w:val="0"/>
          <w:sz w:val="24"/>
          <w:lang w:bidi="ar"/>
        </w:rPr>
        <w:t>年，国家ADR监测年度报告显示，按报告来源统计，医疗机构上报的ADR分别占总报告的90.1%、91.2%、</w:t>
      </w:r>
      <w:r>
        <w:rPr>
          <w:rFonts w:hint="eastAsia" w:ascii="Times New Roman" w:hAnsi="Times New Roman" w:eastAsia="宋体" w:cstheme="minorEastAsia"/>
          <w:snapToGrid w:val="0"/>
          <w:color w:val="auto"/>
          <w:kern w:val="0"/>
          <w:sz w:val="24"/>
          <w:lang w:val="en-US" w:eastAsia="zh-CN" w:bidi="ar"/>
        </w:rPr>
        <w:t>91.5</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202</w:t>
      </w:r>
      <w:r>
        <w:rPr>
          <w:rFonts w:hint="eastAsia" w:ascii="Times New Roman" w:hAnsi="Times New Roman" w:eastAsia="宋体" w:cstheme="minorEastAsia"/>
          <w:snapToGrid w:val="0"/>
          <w:color w:val="auto"/>
          <w:kern w:val="0"/>
          <w:sz w:val="24"/>
          <w:lang w:val="en-US" w:eastAsia="zh-CN" w:bidi="ar"/>
        </w:rPr>
        <w:t>5</w:t>
      </w:r>
      <w:r>
        <w:rPr>
          <w:rFonts w:hint="eastAsia" w:ascii="Times New Roman" w:hAnsi="Times New Roman" w:eastAsia="宋体" w:cstheme="minorEastAsia"/>
          <w:snapToGrid w:val="0"/>
          <w:color w:val="auto"/>
          <w:kern w:val="0"/>
          <w:sz w:val="24"/>
          <w:lang w:bidi="ar"/>
        </w:rPr>
        <w:t>年，湖北省ADR报告主要来源仍然是医疗机构，占比</w:t>
      </w:r>
      <w:r>
        <w:rPr>
          <w:rFonts w:hint="eastAsia" w:ascii="Times New Roman" w:hAnsi="Times New Roman" w:eastAsia="宋体" w:cstheme="minorEastAsia"/>
          <w:i w:val="0"/>
          <w:iCs w:val="0"/>
          <w:caps w:val="0"/>
          <w:snapToGrid w:val="0"/>
          <w:color w:val="auto"/>
          <w:spacing w:val="0"/>
          <w:kern w:val="0"/>
          <w:sz w:val="24"/>
          <w:szCs w:val="24"/>
          <w:shd w:val="clear" w:fill="auto"/>
          <w:lang w:bidi="ar"/>
        </w:rPr>
        <w:t>98.37</w:t>
      </w:r>
      <w:r>
        <w:rPr>
          <w:rFonts w:hint="eastAsia" w:ascii="Times New Roman" w:hAnsi="Times New Roman" w:eastAsia="宋体" w:cstheme="minorEastAsia"/>
          <w:snapToGrid w:val="0"/>
          <w:color w:val="auto"/>
          <w:kern w:val="0"/>
          <w:sz w:val="24"/>
          <w:lang w:bidi="ar"/>
        </w:rPr>
        <w:t>%。湖北省药品（医疗器械）不良反应监测中心对202</w:t>
      </w:r>
      <w:r>
        <w:rPr>
          <w:rFonts w:hint="eastAsia" w:ascii="Times New Roman" w:hAnsi="Times New Roman" w:eastAsia="宋体" w:cstheme="minorEastAsia"/>
          <w:snapToGrid w:val="0"/>
          <w:color w:val="auto"/>
          <w:kern w:val="0"/>
          <w:sz w:val="24"/>
          <w:lang w:val="en-US" w:eastAsia="zh-CN" w:bidi="ar"/>
        </w:rPr>
        <w:t>5</w:t>
      </w:r>
      <w:r>
        <w:rPr>
          <w:rFonts w:hint="eastAsia" w:ascii="Times New Roman" w:hAnsi="Times New Roman" w:eastAsia="宋体" w:cstheme="minorEastAsia"/>
          <w:snapToGrid w:val="0"/>
          <w:color w:val="auto"/>
          <w:kern w:val="0"/>
          <w:sz w:val="24"/>
          <w:lang w:bidi="ar"/>
        </w:rPr>
        <w:t>年ADR报告质量的评价显示：湖北省ADR报告数量地区之间不平衡，报告质量有待提高。为提高ADR报告的数量和质量，实现同质化管理，更好地发挥医疗机构在药品安全管理中的作用，现基于法律法规、规范报告、团体标准、循证以及调研数据等制定《</w:t>
      </w:r>
      <w:r>
        <w:rPr>
          <w:rFonts w:hint="eastAsia" w:ascii="Times New Roman" w:hAnsi="Times New Roman" w:eastAsia="宋体" w:cstheme="minorEastAsia"/>
          <w:snapToGrid w:val="0"/>
          <w:color w:val="auto"/>
          <w:kern w:val="0"/>
          <w:sz w:val="24"/>
          <w:lang w:eastAsia="zh-CN" w:bidi="ar"/>
        </w:rPr>
        <w:t>湖北省医疗机构药品不良反应/事件收集和报告指南</w:t>
      </w:r>
      <w:r>
        <w:rPr>
          <w:rFonts w:hint="eastAsia" w:ascii="Times New Roman" w:hAnsi="Times New Roman" w:eastAsia="宋体" w:cstheme="minorEastAsia"/>
          <w:snapToGrid w:val="0"/>
          <w:color w:val="auto"/>
          <w:kern w:val="0"/>
          <w:sz w:val="24"/>
          <w:lang w:bidi="ar"/>
        </w:rPr>
        <w:t>》（以下简称“指南”）。</w:t>
      </w:r>
    </w:p>
    <w:p w14:paraId="67DA86DB">
      <w:pPr>
        <w:topLinePunct/>
        <w:adjustRightInd w:val="0"/>
        <w:snapToGrid w:val="0"/>
        <w:spacing w:line="360" w:lineRule="auto"/>
        <w:outlineLvl w:val="0"/>
        <w:rPr>
          <w:rFonts w:hint="eastAsia" w:ascii="Times New Roman" w:hAnsi="Times New Roman" w:eastAsia="黑体" w:cs="黑体"/>
          <w:snapToGrid w:val="0"/>
          <w:color w:val="auto"/>
          <w:kern w:val="0"/>
          <w:sz w:val="24"/>
        </w:rPr>
      </w:pPr>
      <w:bookmarkStart w:id="11" w:name="_Toc20755"/>
      <w:bookmarkStart w:id="12" w:name="_Toc15242"/>
      <w:bookmarkStart w:id="13" w:name="_Toc13591"/>
      <w:bookmarkStart w:id="14" w:name="_Toc21507"/>
      <w:bookmarkStart w:id="15" w:name="_Toc30328"/>
      <w:bookmarkStart w:id="16" w:name="_Toc17046"/>
      <w:bookmarkStart w:id="17" w:name="_Toc30034"/>
      <w:bookmarkStart w:id="18" w:name="_Toc24190"/>
      <w:bookmarkStart w:id="19" w:name="_Toc16699"/>
      <w:bookmarkStart w:id="20" w:name="_Toc25374"/>
      <w:bookmarkStart w:id="21" w:name="_Toc17545"/>
      <w:r>
        <w:rPr>
          <w:rFonts w:hint="eastAsia" w:ascii="Times New Roman" w:hAnsi="Times New Roman" w:eastAsia="黑体" w:cs="黑体"/>
          <w:snapToGrid w:val="0"/>
          <w:color w:val="auto"/>
          <w:kern w:val="0"/>
          <w:sz w:val="24"/>
        </w:rPr>
        <w:t>1 我国ADR监测工作</w:t>
      </w:r>
      <w:bookmarkEnd w:id="11"/>
      <w:bookmarkEnd w:id="12"/>
      <w:bookmarkEnd w:id="13"/>
      <w:bookmarkEnd w:id="14"/>
      <w:bookmarkEnd w:id="15"/>
      <w:bookmarkEnd w:id="16"/>
      <w:bookmarkEnd w:id="17"/>
      <w:bookmarkEnd w:id="18"/>
      <w:bookmarkEnd w:id="19"/>
      <w:bookmarkEnd w:id="20"/>
      <w:bookmarkEnd w:id="21"/>
    </w:p>
    <w:p w14:paraId="2F6B29FA">
      <w:pPr>
        <w:topLinePunct/>
        <w:adjustRightInd w:val="0"/>
        <w:snapToGrid w:val="0"/>
        <w:spacing w:line="360" w:lineRule="auto"/>
        <w:ind w:firstLine="0" w:firstLineChars="0"/>
        <w:outlineLvl w:val="1"/>
        <w:rPr>
          <w:rFonts w:hint="eastAsia" w:ascii="Times New Roman" w:hAnsi="Times New Roman" w:eastAsia="黑体" w:cs="黑体"/>
          <w:snapToGrid w:val="0"/>
          <w:color w:val="auto"/>
          <w:kern w:val="0"/>
          <w:sz w:val="24"/>
          <w:lang w:bidi="ar"/>
        </w:rPr>
      </w:pPr>
      <w:bookmarkStart w:id="22" w:name="_Toc26770"/>
      <w:bookmarkStart w:id="23" w:name="_Toc11395"/>
      <w:bookmarkStart w:id="24" w:name="_Toc17077"/>
      <w:r>
        <w:rPr>
          <w:rFonts w:hint="eastAsia" w:ascii="Times New Roman" w:hAnsi="Times New Roman" w:eastAsia="黑体" w:cs="黑体"/>
          <w:snapToGrid w:val="0"/>
          <w:color w:val="auto"/>
          <w:kern w:val="0"/>
          <w:sz w:val="24"/>
          <w:lang w:bidi="ar"/>
        </w:rPr>
        <w:t>1.1</w:t>
      </w:r>
      <w:r>
        <w:rPr>
          <w:rFonts w:hint="eastAsia" w:ascii="Times New Roman" w:hAnsi="Times New Roman" w:eastAsia="黑体" w:cs="黑体"/>
          <w:snapToGrid w:val="0"/>
          <w:color w:val="auto"/>
          <w:kern w:val="0"/>
          <w:sz w:val="24"/>
          <w:lang w:val="en-US" w:eastAsia="zh-CN" w:bidi="ar"/>
        </w:rPr>
        <w:t xml:space="preserve"> </w:t>
      </w:r>
      <w:r>
        <w:rPr>
          <w:rFonts w:hint="eastAsia" w:ascii="Times New Roman" w:hAnsi="Times New Roman" w:eastAsia="黑体" w:cs="黑体"/>
          <w:snapToGrid w:val="0"/>
          <w:color w:val="auto"/>
          <w:kern w:val="0"/>
          <w:sz w:val="24"/>
          <w:lang w:bidi="ar"/>
        </w:rPr>
        <w:t>ADR监测和报告的意义</w:t>
      </w:r>
      <w:bookmarkEnd w:id="22"/>
      <w:bookmarkEnd w:id="23"/>
      <w:bookmarkEnd w:id="24"/>
    </w:p>
    <w:p w14:paraId="67123217">
      <w:pPr>
        <w:topLinePunct/>
        <w:adjustRightInd w:val="0"/>
        <w:snapToGrid w:val="0"/>
        <w:spacing w:line="360" w:lineRule="auto"/>
        <w:ind w:firstLine="480" w:firstLineChars="200"/>
        <w:outlineLvl w:val="9"/>
        <w:rPr>
          <w:rFonts w:ascii="Times New Roman" w:hAnsi="Times New Roman" w:eastAsia="宋体" w:cstheme="minorEastAsia"/>
          <w:snapToGrid w:val="0"/>
          <w:color w:val="auto"/>
          <w:kern w:val="0"/>
          <w:sz w:val="24"/>
          <w:lang w:bidi="ar"/>
        </w:rPr>
      </w:pPr>
      <w:bookmarkStart w:id="25" w:name="_Toc1612"/>
      <w:r>
        <w:rPr>
          <w:rFonts w:hint="eastAsia" w:ascii="Times New Roman" w:hAnsi="Times New Roman" w:eastAsia="宋体" w:cstheme="minorEastAsia"/>
          <w:snapToGrid w:val="0"/>
          <w:color w:val="auto"/>
          <w:kern w:val="0"/>
          <w:sz w:val="24"/>
          <w:lang w:bidi="ar"/>
        </w:rPr>
        <w:t>药品在上市之前，均需历经动物试验以及Ⅰ、Ⅱ、Ⅲ期临床试验，用于检测药品的安全性和有效性。但由于样本量有限、试验周期较短、纳入排除标准严格以及合并用药限制等因素的制约，其提供的药品安全性信息并不全面，尤其是关于长期毒性和罕见的不良反应。而对药品上市后大规模人群使用的安全数据进行监测，</w:t>
      </w:r>
      <w:r>
        <w:rPr>
          <w:rFonts w:hint="eastAsia" w:ascii="Times New Roman" w:hAnsi="Times New Roman" w:eastAsia="宋体" w:cstheme="minorEastAsia"/>
          <w:snapToGrid w:val="0"/>
          <w:color w:val="auto"/>
          <w:kern w:val="0"/>
          <w:sz w:val="24"/>
          <w:lang w:val="en-US" w:eastAsia="zh-CN" w:bidi="ar"/>
        </w:rPr>
        <w:t>能够</w:t>
      </w:r>
      <w:r>
        <w:rPr>
          <w:rFonts w:hint="eastAsia" w:ascii="Times New Roman" w:hAnsi="Times New Roman" w:eastAsia="宋体" w:cstheme="minorEastAsia"/>
          <w:snapToGrid w:val="0"/>
          <w:color w:val="auto"/>
          <w:kern w:val="0"/>
          <w:sz w:val="24"/>
          <w:lang w:bidi="ar"/>
        </w:rPr>
        <w:t>为及时、全面捕捉安全性信号提供真实世界数据</w:t>
      </w:r>
      <w:r>
        <w:rPr>
          <w:rFonts w:hint="eastAsia" w:ascii="Times New Roman" w:hAnsi="Times New Roman" w:eastAsia="宋体" w:cstheme="minorEastAsia"/>
          <w:snapToGrid w:val="0"/>
          <w:color w:val="auto"/>
          <w:kern w:val="0"/>
          <w:sz w:val="24"/>
          <w:lang w:val="en-US" w:eastAsia="zh-CN" w:bidi="ar"/>
        </w:rPr>
        <w:t>支撑</w:t>
      </w:r>
      <w:r>
        <w:rPr>
          <w:rFonts w:hint="eastAsia" w:ascii="Times New Roman" w:hAnsi="Times New Roman" w:eastAsia="宋体" w:cstheme="minorEastAsia"/>
          <w:snapToGrid w:val="0"/>
          <w:color w:val="auto"/>
          <w:kern w:val="0"/>
          <w:sz w:val="24"/>
          <w:lang w:bidi="ar"/>
        </w:rPr>
        <w:t>。</w:t>
      </w:r>
      <w:bookmarkEnd w:id="25"/>
    </w:p>
    <w:p w14:paraId="6B20A98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我国已构建药品不良反应监测体系，该体系采集的各类上市药品安全信息，在提示药品安全信息及发出风险预警方面发挥了重要作用。如2006年我国药品监管部门接连处理了两起重大药品安全性事件，即“欣弗事件”和“鱼腥草注射液事件”，充分体现了我国ADR监测体系的作用。</w:t>
      </w:r>
    </w:p>
    <w:p w14:paraId="2B727D05">
      <w:pPr>
        <w:topLinePunct/>
        <w:adjustRightInd w:val="0"/>
        <w:snapToGrid w:val="0"/>
        <w:spacing w:line="360" w:lineRule="auto"/>
        <w:outlineLvl w:val="1"/>
        <w:rPr>
          <w:rFonts w:ascii="Times New Roman" w:hAnsi="Times New Roman" w:eastAsia="黑体" w:cs="黑体"/>
          <w:snapToGrid w:val="0"/>
          <w:color w:val="auto"/>
          <w:kern w:val="0"/>
          <w:sz w:val="24"/>
        </w:rPr>
      </w:pPr>
      <w:bookmarkStart w:id="26" w:name="_Toc386"/>
      <w:bookmarkStart w:id="27" w:name="_Toc31684"/>
      <w:bookmarkStart w:id="28" w:name="_Toc28377"/>
      <w:bookmarkStart w:id="29" w:name="_Toc12456"/>
      <w:bookmarkStart w:id="30" w:name="_Toc32720"/>
      <w:bookmarkStart w:id="31" w:name="_Toc31018"/>
      <w:bookmarkStart w:id="32" w:name="_Toc8660"/>
      <w:bookmarkStart w:id="33" w:name="_Toc18899"/>
      <w:bookmarkStart w:id="34" w:name="_Toc14690"/>
      <w:bookmarkStart w:id="35" w:name="_Toc61"/>
      <w:bookmarkStart w:id="36" w:name="_Toc27967"/>
      <w:r>
        <w:rPr>
          <w:rFonts w:hint="eastAsia" w:ascii="Times New Roman" w:hAnsi="Times New Roman" w:eastAsia="黑体" w:cs="黑体"/>
          <w:snapToGrid w:val="0"/>
          <w:color w:val="auto"/>
          <w:kern w:val="0"/>
          <w:sz w:val="24"/>
        </w:rPr>
        <w:t>1.</w:t>
      </w:r>
      <w:r>
        <w:rPr>
          <w:rFonts w:hint="eastAsia" w:ascii="Times New Roman" w:hAnsi="Times New Roman" w:eastAsia="黑体" w:cs="黑体"/>
          <w:snapToGrid w:val="0"/>
          <w:color w:val="auto"/>
          <w:kern w:val="0"/>
          <w:sz w:val="24"/>
          <w:lang w:val="en-US" w:eastAsia="zh-CN"/>
        </w:rPr>
        <w:t>2</w:t>
      </w:r>
      <w:r>
        <w:rPr>
          <w:rFonts w:hint="eastAsia" w:ascii="Times New Roman" w:hAnsi="Times New Roman" w:eastAsia="黑体" w:cs="黑体"/>
          <w:snapToGrid w:val="0"/>
          <w:color w:val="auto"/>
          <w:kern w:val="0"/>
          <w:sz w:val="24"/>
        </w:rPr>
        <w:t xml:space="preserve"> ADR相关法律法规</w:t>
      </w:r>
      <w:bookmarkEnd w:id="26"/>
      <w:bookmarkEnd w:id="27"/>
      <w:bookmarkEnd w:id="28"/>
      <w:bookmarkEnd w:id="29"/>
      <w:bookmarkEnd w:id="30"/>
      <w:bookmarkEnd w:id="31"/>
      <w:bookmarkEnd w:id="32"/>
      <w:bookmarkEnd w:id="33"/>
      <w:bookmarkEnd w:id="34"/>
      <w:bookmarkEnd w:id="35"/>
      <w:bookmarkEnd w:id="36"/>
    </w:p>
    <w:p w14:paraId="2FFD4A0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2016年12月25日，第十二届全国人民代表大会常务委员会第二十五次会议通过《中华人民共和国中医药法》，自2017年7月1日起施行。其中第三十二条规定，医疗机构应当加强对备案的中药制剂品种的不良反应监测，并按照国家有关规定进行报告。</w:t>
      </w:r>
    </w:p>
    <w:p w14:paraId="3DA7A3E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2019年8月26日，全国人民代表大会常务委员会第二次修订了《中华人民共和国药品管理法》，自2019年12月1日起施行。其中第十二条规定，国家建立药物警戒制度，对药品不良反应及其他与用药有关的有害反应进行监测、识别、评估和控制；第八十一条规定，医疗机构发现疑似不良反应的，应当及时向药品监督管理部门和卫生健康主管部门报告；第一百三十四条规定，医疗机构未按照规定报告疑似药品不良反应的，责令限期改正，给予警告；逾期不改正的，处五万元以上五十万元以下的罚款。</w:t>
      </w:r>
    </w:p>
    <w:p w14:paraId="3B7D976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2026年1月16日，中华人民共和国国务院第四次修订《中华人民共和国药品管理法实施条例》，自2026年5月15日起施行。其中第六十条规定，医疗机构发现疑似药品不良反应聚集性事件，应当及时对患者进行救治、采取措施控制风险，并按照规定及时报告药品监督管理部门和卫生健康主管部门。</w:t>
      </w:r>
    </w:p>
    <w:p w14:paraId="6C2087D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2011年1月30日，卫生部、国家中医药管理局、总后勤部卫生部联合印发了《医疗机构药事管理规定》，自2011年3月1日起施行。其中第二十一条规定，医疗机构应当建立药品不良反应、用药错误和药品损害事件监测报告制度。医疗机构临床科室发现药品不良反应、用药错误和药品损害事件后，应当积极救治患者，立即向药学部门报告，并做好观察与记录。医疗机构应当按照国家有关规定向相关部门报告药品不良反应，用药错误和药品损害事件应当立即向所在地县级卫生行政部门报告。</w:t>
      </w:r>
    </w:p>
    <w:p w14:paraId="3AD2454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2011年5月4日，卫生部发布了《药品不良反应报告和监测管理办法》（卫生部令第81号），自2011年7月1日起施行。其中规定：医疗机构获知或者发现可能与用药有关的不良反应，应当通过国家药品不良反应监测信息网络报告；不具备在线报告条件的，应当通过纸质报表报所在地药品不良反应监测机构，由所在地药品不良反应监测机构代为在线报告。报告内容应当真实、完整、准确。医疗机构应当主动收集药品不良反应，获知或者发现药品不良反应后应当详细记录、分析和处理，并填写《药品不良反应/事件报告表》。</w:t>
      </w:r>
    </w:p>
    <w:p w14:paraId="4F5A11C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2016年10月9日，国家药品不良反应监测中心发布了《药品不良反应报告质量评估指导意见（试行）》（监测与评价综〔2016〕161号）。</w:t>
      </w:r>
    </w:p>
    <w:p w14:paraId="418A328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2018年12月19日，国家药品监督管理局组织制定了《个例药品不良反应收集和报告指导原则》，于2020年9月24日发布。</w:t>
      </w:r>
    </w:p>
    <w:p w14:paraId="150077E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2021年5月13日，国家药品监督管理局发布了《药物警戒质量管理规范》（2021年第65号），自2021年12月1日起正式施行。</w:t>
      </w:r>
    </w:p>
    <w:p w14:paraId="6111FAA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2024年，《上市后药物警戒管理办法》正在征求意见中。</w:t>
      </w:r>
    </w:p>
    <w:p w14:paraId="4466B47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2025年6月10日，国家卫生健康委印发《三级医院评审标准（2025年版）</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（国卫医政发</w:t>
      </w:r>
      <w:r>
        <w:rPr>
          <w:rFonts w:hint="eastAsia" w:ascii="Times New Roman" w:hAnsi="Times New Roman" w:eastAsia="宋体" w:cstheme="minorEastAsia"/>
          <w:snapToGrid w:val="0"/>
          <w:color w:val="auto"/>
          <w:kern w:val="0"/>
          <w:sz w:val="24"/>
          <w:lang w:eastAsia="zh-CN" w:bidi="ar"/>
        </w:rPr>
        <w:t>〔2025〕4号</w:t>
      </w:r>
      <w:r>
        <w:rPr>
          <w:rFonts w:hint="eastAsia" w:ascii="Times New Roman" w:hAnsi="Times New Roman" w:eastAsia="宋体" w:cstheme="minorEastAsia"/>
          <w:snapToGrid w:val="0"/>
          <w:color w:val="auto"/>
          <w:kern w:val="0"/>
          <w:sz w:val="24"/>
          <w:lang w:bidi="ar"/>
        </w:rPr>
        <w:t>），其中将“严重的或新的ADR上报率”作为药事管理专业医疗质量控制指标之一。</w:t>
      </w:r>
    </w:p>
    <w:p w14:paraId="31A7C976">
      <w:pPr>
        <w:topLinePunct/>
        <w:adjustRightInd w:val="0"/>
        <w:snapToGrid w:val="0"/>
        <w:spacing w:line="360" w:lineRule="auto"/>
        <w:outlineLvl w:val="0"/>
        <w:rPr>
          <w:rFonts w:ascii="Times New Roman" w:hAnsi="Times New Roman" w:eastAsia="宋体" w:cstheme="minorEastAsia"/>
          <w:snapToGrid w:val="0"/>
          <w:color w:val="auto"/>
          <w:kern w:val="0"/>
          <w:sz w:val="24"/>
          <w:vertAlign w:val="superscript"/>
          <w:lang w:bidi="ar"/>
        </w:rPr>
      </w:pPr>
      <w:bookmarkStart w:id="37" w:name="_Toc19202"/>
      <w:bookmarkStart w:id="38" w:name="_Toc23537"/>
      <w:bookmarkStart w:id="39" w:name="_Toc30003"/>
      <w:bookmarkStart w:id="40" w:name="_Toc31081"/>
      <w:bookmarkStart w:id="41" w:name="_Toc11183"/>
      <w:bookmarkStart w:id="42" w:name="_Toc8352"/>
      <w:bookmarkStart w:id="43" w:name="_Toc14374"/>
      <w:bookmarkStart w:id="44" w:name="_Toc17465"/>
      <w:bookmarkStart w:id="45" w:name="_Toc25578"/>
      <w:bookmarkStart w:id="46" w:name="_Toc763"/>
      <w:bookmarkStart w:id="47" w:name="_Toc5428"/>
      <w:r>
        <w:rPr>
          <w:rFonts w:ascii="Times New Roman" w:hAnsi="Times New Roman" w:eastAsia="黑体" w:cs="黑体"/>
          <w:snapToGrid w:val="0"/>
          <w:color w:val="auto"/>
          <w:kern w:val="0"/>
          <w:sz w:val="24"/>
        </w:rPr>
        <w:t>2</w:t>
      </w:r>
      <w:r>
        <w:rPr>
          <w:rFonts w:hint="eastAsia" w:ascii="Times New Roman" w:hAnsi="Times New Roman" w:eastAsia="黑体" w:cs="黑体"/>
          <w:snapToGrid w:val="0"/>
          <w:color w:val="auto"/>
          <w:kern w:val="0"/>
          <w:sz w:val="24"/>
        </w:rPr>
        <w:t xml:space="preserve"> 医疗机构ADR监测和报告工作体系</w:t>
      </w:r>
      <w:bookmarkEnd w:id="37"/>
      <w:bookmarkEnd w:id="38"/>
      <w:bookmarkEnd w:id="39"/>
      <w:bookmarkEnd w:id="40"/>
      <w:bookmarkEnd w:id="41"/>
      <w:bookmarkEnd w:id="42"/>
      <w:bookmarkEnd w:id="43"/>
      <w:bookmarkEnd w:id="44"/>
      <w:bookmarkEnd w:id="45"/>
      <w:bookmarkEnd w:id="46"/>
      <w:bookmarkEnd w:id="47"/>
    </w:p>
    <w:p w14:paraId="651B1F85">
      <w:pPr>
        <w:topLinePunct/>
        <w:adjustRightInd w:val="0"/>
        <w:snapToGrid w:val="0"/>
        <w:spacing w:line="360" w:lineRule="auto"/>
        <w:outlineLvl w:val="1"/>
        <w:rPr>
          <w:rFonts w:ascii="Times New Roman" w:hAnsi="Times New Roman" w:eastAsia="黑体" w:cs="黑体"/>
          <w:snapToGrid w:val="0"/>
          <w:color w:val="auto"/>
          <w:kern w:val="0"/>
          <w:sz w:val="24"/>
        </w:rPr>
      </w:pPr>
      <w:bookmarkStart w:id="48" w:name="_Toc25155"/>
      <w:bookmarkStart w:id="49" w:name="_Toc30916"/>
      <w:bookmarkStart w:id="50" w:name="_Toc20515"/>
      <w:bookmarkStart w:id="51" w:name="_Toc22995"/>
      <w:bookmarkStart w:id="52" w:name="_Toc5455"/>
      <w:bookmarkStart w:id="53" w:name="_Toc3148"/>
      <w:bookmarkStart w:id="54" w:name="_Toc15142"/>
      <w:bookmarkStart w:id="55" w:name="_Toc31647"/>
      <w:bookmarkStart w:id="56" w:name="_Toc80"/>
      <w:bookmarkStart w:id="57" w:name="_Toc8752"/>
      <w:bookmarkStart w:id="58" w:name="_Toc15531"/>
      <w:r>
        <w:rPr>
          <w:rFonts w:hint="eastAsia" w:ascii="Times New Roman" w:hAnsi="Times New Roman" w:eastAsia="黑体" w:cs="黑体"/>
          <w:snapToGrid w:val="0"/>
          <w:color w:val="auto"/>
          <w:kern w:val="0"/>
          <w:sz w:val="24"/>
        </w:rPr>
        <w:t>2.1 组织机构</w:t>
      </w:r>
      <w:bookmarkEnd w:id="48"/>
      <w:bookmarkEnd w:id="49"/>
      <w:bookmarkEnd w:id="50"/>
      <w:bookmarkEnd w:id="51"/>
      <w:bookmarkEnd w:id="52"/>
      <w:bookmarkEnd w:id="53"/>
      <w:bookmarkEnd w:id="54"/>
      <w:bookmarkEnd w:id="55"/>
      <w:bookmarkEnd w:id="56"/>
      <w:bookmarkEnd w:id="57"/>
      <w:bookmarkEnd w:id="58"/>
    </w:p>
    <w:p w14:paraId="1A296CA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olor w:val="auto"/>
          <w:sz w:val="24"/>
        </w:rPr>
        <w:t>医疗机构应</w:t>
      </w:r>
      <w:r>
        <w:rPr>
          <w:rFonts w:hint="eastAsia" w:ascii="Times New Roman" w:hAnsi="Times New Roman" w:eastAsia="宋体" w:cstheme="minorEastAsia"/>
          <w:snapToGrid w:val="0"/>
          <w:color w:val="auto"/>
          <w:kern w:val="0"/>
          <w:sz w:val="24"/>
          <w:lang w:bidi="ar"/>
        </w:rPr>
        <w:t>在</w:t>
      </w:r>
      <w:r>
        <w:rPr>
          <w:rFonts w:ascii="Times New Roman" w:hAnsi="Times New Roman" w:eastAsia="宋体" w:cstheme="minorEastAsia"/>
          <w:snapToGrid w:val="0"/>
          <w:color w:val="auto"/>
          <w:kern w:val="0"/>
          <w:sz w:val="24"/>
          <w:lang w:bidi="ar"/>
        </w:rPr>
        <w:t>药事管理与药物治疗学委员会</w:t>
      </w:r>
      <w:r>
        <w:rPr>
          <w:rFonts w:hint="eastAsia" w:ascii="Times New Roman" w:hAnsi="Times New Roman" w:eastAsia="宋体" w:cstheme="minorEastAsia"/>
          <w:snapToGrid w:val="0"/>
          <w:color w:val="auto"/>
          <w:kern w:val="0"/>
          <w:sz w:val="24"/>
          <w:lang w:bidi="ar"/>
        </w:rPr>
        <w:t>（组）</w:t>
      </w:r>
      <w:r>
        <w:rPr>
          <w:rFonts w:ascii="Times New Roman" w:hAnsi="Times New Roman" w:eastAsia="宋体" w:cstheme="minorEastAsia"/>
          <w:snapToGrid w:val="0"/>
          <w:color w:val="auto"/>
          <w:kern w:val="0"/>
          <w:sz w:val="24"/>
          <w:lang w:bidi="ar"/>
        </w:rPr>
        <w:t>下设立</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w:t>
      </w:r>
      <w:r>
        <w:rPr>
          <w:rFonts w:hint="eastAsia" w:ascii="Times New Roman" w:hAnsi="Times New Roman" w:eastAsia="宋体" w:cstheme="minorEastAsia"/>
          <w:snapToGrid w:val="0"/>
          <w:color w:val="auto"/>
          <w:kern w:val="0"/>
          <w:sz w:val="24"/>
          <w:lang w:bidi="ar"/>
        </w:rPr>
        <w:t>工作组</w:t>
      </w:r>
      <w:r>
        <w:rPr>
          <w:rFonts w:ascii="Times New Roman" w:hAnsi="Times New Roman" w:eastAsia="宋体" w:cstheme="minorEastAsia"/>
          <w:snapToGrid w:val="0"/>
          <w:color w:val="auto"/>
          <w:kern w:val="0"/>
          <w:sz w:val="24"/>
          <w:lang w:bidi="ar"/>
        </w:rPr>
        <w:t>，组长由院长或分管院长担任，成员包括药学、医务、</w:t>
      </w:r>
      <w:r>
        <w:rPr>
          <w:rFonts w:hint="eastAsia" w:ascii="Times New Roman" w:hAnsi="Times New Roman" w:eastAsia="宋体" w:cstheme="minorEastAsia"/>
          <w:snapToGrid w:val="0"/>
          <w:color w:val="auto"/>
          <w:kern w:val="0"/>
          <w:sz w:val="24"/>
          <w:lang w:bidi="ar"/>
        </w:rPr>
        <w:t>信息、</w:t>
      </w:r>
      <w:r>
        <w:rPr>
          <w:rFonts w:ascii="Times New Roman" w:hAnsi="Times New Roman" w:eastAsia="宋体" w:cstheme="minorEastAsia"/>
          <w:snapToGrid w:val="0"/>
          <w:color w:val="auto"/>
          <w:kern w:val="0"/>
          <w:sz w:val="24"/>
          <w:lang w:bidi="ar"/>
        </w:rPr>
        <w:t>护理及临床科室等部门负责人，办公室设置在药学部门，负责日常监测工作。</w:t>
      </w:r>
    </w:p>
    <w:p w14:paraId="07672C9F">
      <w:pPr>
        <w:topLinePunct/>
        <w:adjustRightInd w:val="0"/>
        <w:snapToGrid w:val="0"/>
        <w:spacing w:line="360" w:lineRule="auto"/>
        <w:outlineLvl w:val="1"/>
        <w:rPr>
          <w:rFonts w:ascii="Times New Roman" w:hAnsi="Times New Roman" w:eastAsia="黑体" w:cs="黑体"/>
          <w:snapToGrid w:val="0"/>
          <w:color w:val="auto"/>
          <w:kern w:val="0"/>
          <w:sz w:val="24"/>
        </w:rPr>
      </w:pPr>
      <w:bookmarkStart w:id="59" w:name="_Toc7601"/>
      <w:bookmarkStart w:id="60" w:name="_Toc20067"/>
      <w:bookmarkStart w:id="61" w:name="_Toc22246"/>
      <w:bookmarkStart w:id="62" w:name="_Toc13065"/>
      <w:bookmarkStart w:id="63" w:name="_Toc14982"/>
      <w:bookmarkStart w:id="64" w:name="_Toc24929"/>
      <w:bookmarkStart w:id="65" w:name="_Toc9984"/>
      <w:bookmarkStart w:id="66" w:name="_Toc6619"/>
      <w:bookmarkStart w:id="67" w:name="_Toc11363"/>
      <w:bookmarkStart w:id="68" w:name="_Toc24830"/>
      <w:bookmarkStart w:id="69" w:name="_Toc7619"/>
      <w:r>
        <w:rPr>
          <w:rFonts w:hint="eastAsia" w:ascii="Times New Roman" w:hAnsi="Times New Roman" w:eastAsia="黑体" w:cs="黑体"/>
          <w:snapToGrid w:val="0"/>
          <w:color w:val="auto"/>
          <w:kern w:val="0"/>
          <w:sz w:val="24"/>
        </w:rPr>
        <w:t>2.2 制度建设</w:t>
      </w:r>
      <w:bookmarkEnd w:id="59"/>
      <w:bookmarkEnd w:id="60"/>
      <w:bookmarkEnd w:id="61"/>
      <w:bookmarkEnd w:id="62"/>
      <w:bookmarkEnd w:id="63"/>
      <w:bookmarkEnd w:id="64"/>
      <w:bookmarkEnd w:id="65"/>
      <w:bookmarkEnd w:id="66"/>
      <w:bookmarkEnd w:id="67"/>
      <w:bookmarkEnd w:id="68"/>
      <w:bookmarkEnd w:id="69"/>
    </w:p>
    <w:p w14:paraId="6C62EE84">
      <w:pPr>
        <w:numPr>
          <w:ilvl w:val="1"/>
          <w:numId w:val="0"/>
        </w:num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医疗机构应建立ADR监测工作相关管理制度，主要内容包括ADR监测管理制度；ADR报告制度；ADR监测档案管理制度；药品安全风险识别、评估和处置制度；药品安全信息沟通交流制度；ADR监测质量控制制度等。</w:t>
      </w:r>
    </w:p>
    <w:p w14:paraId="365F8E9E">
      <w:pPr>
        <w:numPr>
          <w:ilvl w:val="1"/>
          <w:numId w:val="0"/>
        </w:num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制定ADR监测与报告工作程序，明确ADR收集、分析、评价、上报、处理流程和时限，主要包括ADR报告和监测工作程序，新的、严重的ADR评价程序，ADR调查、处理程序，聚集性不良事件报告及处理程序，ADR应急处理程序，ADR信息利用管理程序等。</w:t>
      </w:r>
    </w:p>
    <w:p w14:paraId="690376AC">
      <w:pPr>
        <w:numPr>
          <w:ilvl w:val="1"/>
          <w:numId w:val="0"/>
        </w:num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医疗机构应建立</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报告和监测工作考核机制，制定考核方案，把</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报告和监测工作纳入临床科室</w:t>
      </w:r>
      <w:r>
        <w:rPr>
          <w:rFonts w:hint="eastAsia" w:ascii="Times New Roman" w:hAnsi="Times New Roman" w:eastAsia="宋体" w:cstheme="minorEastAsia"/>
          <w:snapToGrid w:val="0"/>
          <w:color w:val="auto"/>
          <w:kern w:val="0"/>
          <w:sz w:val="24"/>
          <w:lang w:bidi="ar"/>
        </w:rPr>
        <w:t>质量控制考核。考核维度包括：管理组织，报告真实性、时效性</w:t>
      </w:r>
      <w:r>
        <w:rPr>
          <w:rFonts w:hint="eastAsia" w:ascii="Times New Roman" w:hAnsi="Times New Roman" w:eastAsia="宋体" w:cstheme="minorEastAsia"/>
          <w:snapToGrid w:val="0"/>
          <w:color w:val="auto"/>
          <w:kern w:val="0"/>
          <w:sz w:val="24"/>
          <w:lang w:val="en-US" w:eastAsia="zh-CN" w:bidi="ar"/>
        </w:rPr>
        <w:t>、瞒报、漏报，</w:t>
      </w:r>
      <w:r>
        <w:rPr>
          <w:rFonts w:hint="eastAsia" w:ascii="Times New Roman" w:hAnsi="Times New Roman" w:eastAsia="宋体" w:cstheme="minorEastAsia"/>
          <w:snapToGrid w:val="0"/>
          <w:color w:val="auto"/>
          <w:kern w:val="0"/>
          <w:sz w:val="24"/>
          <w:lang w:bidi="ar"/>
        </w:rPr>
        <w:t>报告数量、质量，严重/新的药品不良反应处置等。</w:t>
      </w:r>
      <w:r>
        <w:rPr>
          <w:rFonts w:hint="eastAsia" w:ascii="Times New Roman" w:hAnsi="Times New Roman" w:eastAsia="宋体"/>
          <w:color w:val="auto"/>
          <w:sz w:val="24"/>
        </w:rPr>
        <w:t>考核结果与科室及个人绩效挂钩。</w:t>
      </w:r>
    </w:p>
    <w:p w14:paraId="0B7FA4B0">
      <w:pPr>
        <w:topLinePunct/>
        <w:adjustRightInd w:val="0"/>
        <w:snapToGrid w:val="0"/>
        <w:spacing w:line="360" w:lineRule="auto"/>
        <w:outlineLvl w:val="1"/>
        <w:rPr>
          <w:rFonts w:ascii="Times New Roman" w:hAnsi="Times New Roman" w:eastAsia="黑体" w:cs="黑体"/>
          <w:snapToGrid w:val="0"/>
          <w:color w:val="auto"/>
          <w:kern w:val="0"/>
          <w:sz w:val="24"/>
        </w:rPr>
      </w:pPr>
      <w:bookmarkStart w:id="70" w:name="_Toc5667"/>
      <w:bookmarkStart w:id="71" w:name="_Toc16638"/>
      <w:bookmarkStart w:id="72" w:name="_Toc10529"/>
      <w:bookmarkStart w:id="73" w:name="_Toc6167"/>
      <w:bookmarkStart w:id="74" w:name="_Toc20019"/>
      <w:bookmarkStart w:id="75" w:name="_Toc32624"/>
      <w:bookmarkStart w:id="76" w:name="_Toc24112"/>
      <w:bookmarkStart w:id="77" w:name="_Toc13791"/>
      <w:bookmarkStart w:id="78" w:name="_Toc12053"/>
      <w:bookmarkStart w:id="79" w:name="_Toc17750"/>
      <w:bookmarkStart w:id="80" w:name="_Toc24661"/>
      <w:r>
        <w:rPr>
          <w:rFonts w:hint="eastAsia" w:ascii="Times New Roman" w:hAnsi="Times New Roman" w:eastAsia="黑体" w:cs="黑体"/>
          <w:snapToGrid w:val="0"/>
          <w:color w:val="auto"/>
          <w:kern w:val="0"/>
          <w:sz w:val="24"/>
        </w:rPr>
        <w:t>2</w:t>
      </w:r>
      <w:r>
        <w:rPr>
          <w:rFonts w:ascii="Times New Roman" w:hAnsi="Times New Roman" w:eastAsia="黑体" w:cs="黑体"/>
          <w:snapToGrid w:val="0"/>
          <w:color w:val="auto"/>
          <w:kern w:val="0"/>
          <w:sz w:val="24"/>
        </w:rPr>
        <w:t>.</w:t>
      </w:r>
      <w:r>
        <w:rPr>
          <w:rFonts w:hint="eastAsia" w:ascii="Times New Roman" w:hAnsi="Times New Roman" w:eastAsia="黑体" w:cs="黑体"/>
          <w:snapToGrid w:val="0"/>
          <w:color w:val="auto"/>
          <w:kern w:val="0"/>
          <w:sz w:val="24"/>
        </w:rPr>
        <w:t>3 人员配备</w:t>
      </w:r>
      <w:bookmarkEnd w:id="70"/>
      <w:bookmarkEnd w:id="71"/>
      <w:bookmarkEnd w:id="72"/>
      <w:bookmarkEnd w:id="73"/>
      <w:bookmarkEnd w:id="74"/>
      <w:bookmarkEnd w:id="75"/>
      <w:bookmarkEnd w:id="76"/>
      <w:bookmarkEnd w:id="77"/>
      <w:bookmarkEnd w:id="78"/>
      <w:bookmarkEnd w:id="79"/>
      <w:bookmarkEnd w:id="80"/>
    </w:p>
    <w:p w14:paraId="016DAEA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配备专（兼）职人员负责本单位的ADR报告和监测工作，工作人员应具有医学、药学、流行病学或统计学等相关专业知识，具备科学分析评价ADR报告的能力。专（兼）职人员一般由符合要求的医师、药师担任。为便于药学部门与临床科室沟通ADR监测工作，每个临床科室应配备至少1名ADR监测联络员。</w:t>
      </w:r>
    </w:p>
    <w:p w14:paraId="53382A0E">
      <w:pPr>
        <w:topLinePunct/>
        <w:adjustRightInd w:val="0"/>
        <w:snapToGrid w:val="0"/>
        <w:spacing w:line="360" w:lineRule="auto"/>
        <w:outlineLvl w:val="1"/>
        <w:rPr>
          <w:rFonts w:ascii="Times New Roman" w:hAnsi="Times New Roman" w:eastAsia="黑体" w:cs="黑体"/>
          <w:snapToGrid w:val="0"/>
          <w:color w:val="auto"/>
          <w:kern w:val="0"/>
          <w:sz w:val="24"/>
        </w:rPr>
      </w:pPr>
      <w:bookmarkStart w:id="81" w:name="_Toc13564"/>
      <w:bookmarkStart w:id="82" w:name="_Toc27205"/>
      <w:bookmarkStart w:id="83" w:name="_Toc31043"/>
      <w:bookmarkStart w:id="84" w:name="_Toc9717"/>
      <w:bookmarkStart w:id="85" w:name="_Toc2130"/>
      <w:bookmarkStart w:id="86" w:name="_Toc6513"/>
      <w:bookmarkStart w:id="87" w:name="_Toc25428"/>
      <w:bookmarkStart w:id="88" w:name="_Toc21029"/>
      <w:bookmarkStart w:id="89" w:name="_Toc12147"/>
      <w:bookmarkStart w:id="90" w:name="_Toc17040"/>
      <w:bookmarkStart w:id="91" w:name="_Toc28387"/>
      <w:r>
        <w:rPr>
          <w:rFonts w:hint="eastAsia" w:ascii="Times New Roman" w:hAnsi="Times New Roman" w:eastAsia="黑体" w:cs="黑体"/>
          <w:snapToGrid w:val="0"/>
          <w:color w:val="auto"/>
          <w:kern w:val="0"/>
          <w:sz w:val="24"/>
        </w:rPr>
        <w:t>2.4 工作职责</w:t>
      </w:r>
      <w:bookmarkEnd w:id="81"/>
      <w:bookmarkEnd w:id="82"/>
      <w:bookmarkEnd w:id="83"/>
      <w:bookmarkEnd w:id="84"/>
      <w:bookmarkEnd w:id="85"/>
      <w:bookmarkEnd w:id="86"/>
      <w:bookmarkEnd w:id="87"/>
      <w:bookmarkEnd w:id="88"/>
      <w:bookmarkEnd w:id="89"/>
      <w:bookmarkEnd w:id="90"/>
      <w:bookmarkEnd w:id="91"/>
    </w:p>
    <w:p w14:paraId="7BBF7285">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2.4.1 工作组</w:t>
      </w:r>
    </w:p>
    <w:p w14:paraId="6E738FDE">
      <w:pPr>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olor w:val="auto"/>
          <w:sz w:val="24"/>
        </w:rPr>
        <w:t>负责审定医院ADR监测工作的年度计划、管理制度和流程；监督和指导全院ADR监测工作的开展，协调解决工作中出现的重大安全问题；审批医院年度ADR监测工作报告，并向药事管理与药物治疗学委员会汇报；对重大、聚集性ADR事件启动应急响应，并指挥处置。</w:t>
      </w:r>
    </w:p>
    <w:p w14:paraId="348E66E1">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 xml:space="preserve">2.4.2 </w:t>
      </w:r>
      <w:r>
        <w:rPr>
          <w:rFonts w:ascii="Times New Roman" w:hAnsi="Times New Roman" w:eastAsia="宋体" w:cstheme="minorEastAsia"/>
          <w:snapToGrid w:val="0"/>
          <w:color w:val="auto"/>
          <w:kern w:val="0"/>
          <w:sz w:val="24"/>
          <w:lang w:bidi="ar"/>
        </w:rPr>
        <w:t>医务部门</w:t>
      </w:r>
    </w:p>
    <w:p w14:paraId="5FD48D8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负责对全院</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监测工作提供行政支持，组织工作组其他成员开展工作，实施</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监测工作的奖惩措施，组织开展本单位</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监测相关人员的培训。</w:t>
      </w:r>
    </w:p>
    <w:p w14:paraId="197A7293">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 xml:space="preserve">2.4.3 </w:t>
      </w:r>
      <w:r>
        <w:rPr>
          <w:rFonts w:ascii="Times New Roman" w:hAnsi="Times New Roman" w:eastAsia="宋体" w:cstheme="minorEastAsia"/>
          <w:snapToGrid w:val="0"/>
          <w:color w:val="auto"/>
          <w:kern w:val="0"/>
          <w:sz w:val="24"/>
          <w:lang w:bidi="ar"/>
        </w:rPr>
        <w:t>药学部门</w:t>
      </w:r>
    </w:p>
    <w:p w14:paraId="1090B1E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负责</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监测工作，指定专人负责本单位</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信息收集、核实、报告等工作</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配合医务部门对医务人员进行培训、指导；定期对科室报告的</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报告进行汇总分析；开展信号检测和验证；开展主动监测等上市后研究与评价；定期开展本单位</w:t>
      </w:r>
      <w:r>
        <w:rPr>
          <w:rFonts w:hint="eastAsia" w:ascii="Times New Roman" w:hAnsi="Times New Roman" w:eastAsia="宋体" w:cstheme="minorEastAsia"/>
          <w:snapToGrid w:val="0"/>
          <w:color w:val="auto"/>
          <w:kern w:val="0"/>
          <w:sz w:val="24"/>
          <w:lang w:bidi="ar"/>
        </w:rPr>
        <w:t>药品</w:t>
      </w:r>
      <w:r>
        <w:rPr>
          <w:rFonts w:ascii="Times New Roman" w:hAnsi="Times New Roman" w:eastAsia="宋体" w:cstheme="minorEastAsia"/>
          <w:snapToGrid w:val="0"/>
          <w:color w:val="auto"/>
          <w:kern w:val="0"/>
          <w:sz w:val="24"/>
          <w:lang w:bidi="ar"/>
        </w:rPr>
        <w:t>不良反应报告质量评估。</w:t>
      </w:r>
    </w:p>
    <w:p w14:paraId="0B51561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临床药师应开展药品不良反应监护工作，对可能发生的药品不良反应进行预防和监测，及时发现、判断并予以处置。</w:t>
      </w:r>
      <w:r>
        <w:rPr>
          <w:rFonts w:hint="eastAsia" w:ascii="Times New Roman" w:hAnsi="Times New Roman" w:cstheme="minorEastAsia"/>
          <w:snapToGrid w:val="0"/>
          <w:color w:val="auto"/>
          <w:kern w:val="0"/>
          <w:sz w:val="24"/>
          <w:lang w:bidi="ar"/>
        </w:rPr>
        <w:t>驻科药师应积极开展</w:t>
      </w:r>
      <w:r>
        <w:rPr>
          <w:rFonts w:hint="eastAsia" w:ascii="Times New Roman" w:hAnsi="Times New Roman" w:cstheme="minorEastAsia"/>
          <w:snapToGrid w:val="0"/>
          <w:color w:val="auto"/>
          <w:kern w:val="0"/>
          <w:sz w:val="24"/>
          <w:lang w:eastAsia="zh-CN" w:bidi="ar"/>
        </w:rPr>
        <w:t>A</w:t>
      </w:r>
      <w:r>
        <w:rPr>
          <w:rFonts w:hint="eastAsia" w:ascii="Times New Roman" w:hAnsi="Times New Roman" w:cstheme="minorEastAsia"/>
          <w:snapToGrid w:val="0"/>
          <w:color w:val="auto"/>
          <w:kern w:val="0"/>
          <w:sz w:val="24"/>
          <w:lang w:val="en-US" w:eastAsia="zh-CN" w:bidi="ar"/>
        </w:rPr>
        <w:t>DR</w:t>
      </w:r>
      <w:r>
        <w:rPr>
          <w:rFonts w:hint="eastAsia" w:ascii="Times New Roman" w:hAnsi="Times New Roman" w:cstheme="minorEastAsia"/>
          <w:snapToGrid w:val="0"/>
          <w:color w:val="auto"/>
          <w:kern w:val="0"/>
          <w:sz w:val="24"/>
          <w:lang w:bidi="ar"/>
        </w:rPr>
        <w:t>监测，针对疑似药品不良反应，主动收集药品不良反应信息，详细记录分析，并依据“可疑即报”原则，填写药品不良反应报告表，通过国家药品不良反应监测系统进行上报。</w:t>
      </w:r>
    </w:p>
    <w:p w14:paraId="6A36034B">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 xml:space="preserve">2.4.4 </w:t>
      </w:r>
      <w:r>
        <w:rPr>
          <w:rFonts w:ascii="Times New Roman" w:hAnsi="Times New Roman" w:eastAsia="宋体" w:cstheme="minorEastAsia"/>
          <w:snapToGrid w:val="0"/>
          <w:color w:val="auto"/>
          <w:kern w:val="0"/>
          <w:sz w:val="24"/>
          <w:lang w:bidi="ar"/>
        </w:rPr>
        <w:t>临床科室</w:t>
      </w:r>
    </w:p>
    <w:p w14:paraId="3A435CA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各临床科室负责收集本科室</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，配合药学部门落实药品风险的分析、识别及处置工作。全体医务人员均有责任将发现的</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记入病历并按要求填写《药品不良反应/事件报告表》，确保信息真实、准确、完整；科室主任和护士长对科室</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监测工作进行管理，配合药学、医务部门开展</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的监测、评价和处置等工作。</w:t>
      </w:r>
    </w:p>
    <w:p w14:paraId="0A909469">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 xml:space="preserve">2.4.5 </w:t>
      </w:r>
      <w:r>
        <w:rPr>
          <w:rFonts w:ascii="Times New Roman" w:hAnsi="Times New Roman" w:eastAsia="宋体" w:cstheme="minorEastAsia"/>
          <w:snapToGrid w:val="0"/>
          <w:color w:val="auto"/>
          <w:kern w:val="0"/>
          <w:sz w:val="24"/>
          <w:lang w:bidi="ar"/>
        </w:rPr>
        <w:t>信息部门</w:t>
      </w:r>
    </w:p>
    <w:p w14:paraId="38D6583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负责</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监测工作过程中所有信息化手段的运用和管理，定期进行系统维护和升级，及时解决在</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监测工作过程中遇到的技术问题，确保数据安全，保障监测工作正常开展。</w:t>
      </w:r>
    </w:p>
    <w:p w14:paraId="1C57670F">
      <w:pPr>
        <w:topLinePunct/>
        <w:adjustRightInd w:val="0"/>
        <w:snapToGrid w:val="0"/>
        <w:spacing w:line="360" w:lineRule="auto"/>
        <w:outlineLvl w:val="1"/>
        <w:rPr>
          <w:rFonts w:ascii="Times New Roman" w:hAnsi="Times New Roman" w:eastAsia="黑体" w:cs="黑体"/>
          <w:snapToGrid w:val="0"/>
          <w:color w:val="auto"/>
          <w:kern w:val="0"/>
          <w:sz w:val="24"/>
        </w:rPr>
      </w:pPr>
      <w:bookmarkStart w:id="92" w:name="_Toc6098"/>
      <w:bookmarkStart w:id="93" w:name="_Toc459"/>
      <w:bookmarkStart w:id="94" w:name="_Toc13761"/>
      <w:bookmarkStart w:id="95" w:name="_Toc29258"/>
      <w:bookmarkStart w:id="96" w:name="_Toc4627"/>
      <w:bookmarkStart w:id="97" w:name="_Toc26984"/>
      <w:bookmarkStart w:id="98" w:name="_Toc16761"/>
      <w:bookmarkStart w:id="99" w:name="_Toc26874"/>
      <w:bookmarkStart w:id="100" w:name="_Toc28819"/>
      <w:bookmarkStart w:id="101" w:name="_Toc15391"/>
      <w:bookmarkStart w:id="102" w:name="_Toc20175"/>
      <w:r>
        <w:rPr>
          <w:rFonts w:hint="eastAsia" w:ascii="Times New Roman" w:hAnsi="Times New Roman" w:eastAsia="黑体" w:cs="黑体"/>
          <w:snapToGrid w:val="0"/>
          <w:color w:val="auto"/>
          <w:kern w:val="0"/>
          <w:sz w:val="24"/>
        </w:rPr>
        <w:t>2.5 工作流程</w:t>
      </w:r>
      <w:bookmarkEnd w:id="92"/>
      <w:bookmarkEnd w:id="93"/>
      <w:bookmarkEnd w:id="94"/>
      <w:bookmarkEnd w:id="95"/>
      <w:bookmarkEnd w:id="96"/>
      <w:bookmarkEnd w:id="97"/>
      <w:bookmarkEnd w:id="98"/>
      <w:bookmarkEnd w:id="99"/>
      <w:bookmarkEnd w:id="100"/>
      <w:bookmarkEnd w:id="101"/>
      <w:bookmarkEnd w:id="102"/>
    </w:p>
    <w:p w14:paraId="09D6DD1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医疗机构</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报告和监测工作流程包括信息收集、信息传递、信息确认、报告提交、报告评价、随访与调查、定期分析</w:t>
      </w:r>
      <w:r>
        <w:rPr>
          <w:rFonts w:hint="eastAsia" w:ascii="Times New Roman" w:hAnsi="Times New Roman" w:eastAsia="宋体" w:cstheme="minorEastAsia"/>
          <w:snapToGrid w:val="0"/>
          <w:color w:val="auto"/>
          <w:kern w:val="0"/>
          <w:sz w:val="24"/>
          <w:lang w:bidi="ar"/>
        </w:rPr>
        <w:t>等。</w:t>
      </w:r>
    </w:p>
    <w:p w14:paraId="2680EC5D">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3" w:name="_Toc23681"/>
      <w:r>
        <w:rPr>
          <w:rFonts w:hint="eastAsia" w:ascii="Times New Roman" w:hAnsi="Times New Roman" w:eastAsia="宋体" w:cstheme="minorEastAsia"/>
          <w:snapToGrid w:val="0"/>
          <w:color w:val="auto"/>
          <w:kern w:val="0"/>
          <w:sz w:val="24"/>
          <w:lang w:bidi="ar"/>
        </w:rPr>
        <w:t>2.5.1 信息收集</w:t>
      </w:r>
      <w:bookmarkEnd w:id="103"/>
    </w:p>
    <w:p w14:paraId="6AA36E8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医疗机构应主动收集ADR，对日常诊疗活动中获取的ADR信息进行详细记录，至少包括患者情况、怀疑和合并用药情况、ADR发生情况等方面的信息，如实记录在病历或工作记录中，保障ADR可溯源。</w:t>
      </w:r>
    </w:p>
    <w:p w14:paraId="4006C043">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4" w:name="_Toc19555"/>
      <w:r>
        <w:rPr>
          <w:rFonts w:hint="eastAsia" w:ascii="Times New Roman" w:hAnsi="Times New Roman" w:eastAsia="宋体" w:cstheme="minorEastAsia"/>
          <w:snapToGrid w:val="0"/>
          <w:color w:val="auto"/>
          <w:kern w:val="0"/>
          <w:sz w:val="24"/>
          <w:lang w:bidi="ar"/>
        </w:rPr>
        <w:t>2.5.2 信息传递</w:t>
      </w:r>
      <w:bookmarkEnd w:id="104"/>
    </w:p>
    <w:p w14:paraId="38BB66C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医务人员及时将ADR信息传递到医疗机构ADR监测专（兼）职机构，专（兼）职机构对接收的所有ADR信息进行登记编号，确保其可追溯性。</w:t>
      </w:r>
    </w:p>
    <w:p w14:paraId="1E51A0A7">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5" w:name="_Toc21929"/>
      <w:r>
        <w:rPr>
          <w:rFonts w:hint="eastAsia" w:ascii="Times New Roman" w:hAnsi="Times New Roman" w:eastAsia="宋体" w:cstheme="minorEastAsia"/>
          <w:snapToGrid w:val="0"/>
          <w:color w:val="auto"/>
          <w:kern w:val="0"/>
          <w:sz w:val="24"/>
          <w:lang w:bidi="ar"/>
        </w:rPr>
        <w:t>2.5.3 信息确认</w:t>
      </w:r>
      <w:bookmarkEnd w:id="105"/>
    </w:p>
    <w:p w14:paraId="75D037C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的ADR监测专（兼）职机构人员应对临床收集的ADR信息进行确认，确认的内容至少应包括：（1）信息应为有效信息，对于虚假信息、主要信息缺失的，应核实后补充完善或删除；（2）信息应在报告范围之内；（3）信息不应是重复报告，应对收到信息进行查重，避免重复上报。经确认无需进一步评价和提交的ADR信息，应记录原因，并保存原始记录。</w:t>
      </w:r>
    </w:p>
    <w:p w14:paraId="073BAB54">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6" w:name="_Toc4933"/>
      <w:r>
        <w:rPr>
          <w:rFonts w:hint="eastAsia" w:ascii="Times New Roman" w:hAnsi="Times New Roman" w:eastAsia="宋体" w:cstheme="minorEastAsia"/>
          <w:snapToGrid w:val="0"/>
          <w:color w:val="auto"/>
          <w:kern w:val="0"/>
          <w:sz w:val="24"/>
          <w:lang w:bidi="ar"/>
        </w:rPr>
        <w:t>2.5.4 报告提交</w:t>
      </w:r>
      <w:bookmarkEnd w:id="106"/>
    </w:p>
    <w:p w14:paraId="7719ABB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的ADR监测专（兼）职部门人员应通过国家药品不良反应监测系统提交个例ADR报告，不能通过国家ADR监测系统提交的，应在规定时限将纸质报告上报当地药品监督管理部门或ADR监测技术机构。ADR提交时限应符合要求。</w:t>
      </w:r>
    </w:p>
    <w:p w14:paraId="670EBF3C">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7" w:name="_Toc24982"/>
      <w:r>
        <w:rPr>
          <w:rFonts w:hint="eastAsia" w:ascii="Times New Roman" w:hAnsi="Times New Roman" w:eastAsia="宋体" w:cstheme="minorEastAsia"/>
          <w:snapToGrid w:val="0"/>
          <w:color w:val="auto"/>
          <w:kern w:val="0"/>
          <w:sz w:val="24"/>
          <w:lang w:bidi="ar"/>
        </w:rPr>
        <w:t>2.5.5 报告评价</w:t>
      </w:r>
      <w:bookmarkEnd w:id="107"/>
    </w:p>
    <w:p w14:paraId="663D0A2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医疗机构的ADR监测专（兼）职人员应对个例ADR报告进行评价，包括对新的、严重的不良反应进行判定，以及开展ADR的关联性评价。</w:t>
      </w:r>
    </w:p>
    <w:p w14:paraId="3878717A">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8" w:name="_Toc26339"/>
      <w:r>
        <w:rPr>
          <w:rFonts w:hint="eastAsia" w:ascii="Times New Roman" w:hAnsi="Times New Roman" w:eastAsia="宋体" w:cstheme="minorEastAsia"/>
          <w:snapToGrid w:val="0"/>
          <w:color w:val="auto"/>
          <w:kern w:val="0"/>
          <w:sz w:val="24"/>
          <w:lang w:bidi="ar"/>
        </w:rPr>
        <w:t>2.5.6 随访与调查</w:t>
      </w:r>
      <w:bookmarkEnd w:id="108"/>
    </w:p>
    <w:p w14:paraId="4889B01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对于已按时限提交，但信息不全面的个例不良反应报告，应对缺失的信息进行随访与调查，并及时在追踪报告中补充相关信息。</w:t>
      </w:r>
    </w:p>
    <w:p w14:paraId="1774FFDE">
      <w:pPr>
        <w:topLinePunct/>
        <w:adjustRightInd w:val="0"/>
        <w:snapToGrid w:val="0"/>
        <w:spacing w:line="360" w:lineRule="auto"/>
        <w:outlineLvl w:val="2"/>
        <w:rPr>
          <w:rFonts w:ascii="Times New Roman" w:hAnsi="Times New Roman" w:eastAsia="宋体" w:cstheme="minorEastAsia"/>
          <w:snapToGrid w:val="0"/>
          <w:color w:val="auto"/>
          <w:kern w:val="0"/>
          <w:sz w:val="24"/>
          <w:lang w:bidi="ar"/>
        </w:rPr>
      </w:pPr>
      <w:bookmarkStart w:id="109" w:name="_Toc13615"/>
      <w:r>
        <w:rPr>
          <w:rFonts w:hint="eastAsia" w:ascii="Times New Roman" w:hAnsi="Times New Roman" w:eastAsia="宋体" w:cstheme="minorEastAsia"/>
          <w:snapToGrid w:val="0"/>
          <w:color w:val="auto"/>
          <w:kern w:val="0"/>
          <w:sz w:val="24"/>
          <w:lang w:bidi="ar"/>
        </w:rPr>
        <w:t>2.5.7 定期分析</w:t>
      </w:r>
      <w:bookmarkEnd w:id="109"/>
    </w:p>
    <w:p w14:paraId="74EA6F9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医疗机构应定期对收集到的ADR报告和监测资料进行分析和评价，具体内容应包括患者情况、品种情况、不良反应累及系统及表现等，并采取有效措施减少和防止ADR的重复发生。</w:t>
      </w:r>
    </w:p>
    <w:p w14:paraId="32F2864B">
      <w:pPr>
        <w:topLinePunct/>
        <w:adjustRightInd w:val="0"/>
        <w:snapToGrid w:val="0"/>
        <w:spacing w:line="360" w:lineRule="auto"/>
        <w:outlineLvl w:val="0"/>
        <w:rPr>
          <w:rFonts w:ascii="Times New Roman" w:hAnsi="Times New Roman" w:eastAsia="黑体" w:cs="黑体"/>
          <w:snapToGrid w:val="0"/>
          <w:color w:val="auto"/>
          <w:kern w:val="0"/>
          <w:sz w:val="24"/>
          <w:lang w:bidi="ar"/>
        </w:rPr>
      </w:pPr>
      <w:bookmarkStart w:id="110" w:name="_Toc5971"/>
      <w:bookmarkStart w:id="111" w:name="_Toc11299"/>
      <w:bookmarkStart w:id="112" w:name="_Toc11056"/>
      <w:bookmarkStart w:id="113" w:name="_Toc13942"/>
      <w:bookmarkStart w:id="114" w:name="_Toc11192"/>
      <w:bookmarkStart w:id="115" w:name="_Toc20434"/>
      <w:bookmarkStart w:id="116" w:name="_Toc18469"/>
      <w:bookmarkStart w:id="117" w:name="_Toc5544"/>
      <w:bookmarkStart w:id="118" w:name="_Toc16632"/>
      <w:bookmarkStart w:id="119" w:name="_Toc23198"/>
      <w:bookmarkStart w:id="120" w:name="_Toc22474"/>
      <w:r>
        <w:rPr>
          <w:rFonts w:hint="default" w:ascii="Times New Roman" w:hAnsi="Times New Roman" w:eastAsia="黑体" w:cs="黑体"/>
          <w:snapToGrid w:val="0"/>
          <w:color w:val="auto"/>
          <w:kern w:val="0"/>
          <w:sz w:val="24"/>
          <w:lang w:bidi="ar"/>
        </w:rPr>
        <w:t>3 ADR报告时限和范围</w:t>
      </w:r>
      <w:bookmarkEnd w:id="110"/>
      <w:bookmarkEnd w:id="111"/>
      <w:bookmarkEnd w:id="112"/>
      <w:bookmarkEnd w:id="113"/>
      <w:bookmarkEnd w:id="114"/>
      <w:bookmarkEnd w:id="115"/>
      <w:bookmarkEnd w:id="116"/>
      <w:bookmarkEnd w:id="117"/>
      <w:bookmarkEnd w:id="118"/>
      <w:bookmarkEnd w:id="119"/>
      <w:bookmarkEnd w:id="120"/>
    </w:p>
    <w:p w14:paraId="06962EB2">
      <w:pPr>
        <w:topLinePunct/>
        <w:adjustRightInd w:val="0"/>
        <w:snapToGrid w:val="0"/>
        <w:spacing w:line="360" w:lineRule="auto"/>
        <w:outlineLvl w:val="1"/>
        <w:rPr>
          <w:rFonts w:ascii="Times New Roman" w:hAnsi="Times New Roman" w:eastAsia="黑体" w:cs="黑体"/>
          <w:snapToGrid w:val="0"/>
          <w:color w:val="auto"/>
          <w:kern w:val="0"/>
          <w:sz w:val="24"/>
        </w:rPr>
      </w:pPr>
      <w:bookmarkStart w:id="121" w:name="_Toc29287"/>
      <w:bookmarkStart w:id="122" w:name="_Toc4526"/>
      <w:bookmarkStart w:id="123" w:name="_Toc7934"/>
      <w:bookmarkStart w:id="124" w:name="_Toc25432"/>
      <w:bookmarkStart w:id="125" w:name="_Toc30048"/>
      <w:bookmarkStart w:id="126" w:name="_Toc12758"/>
      <w:bookmarkStart w:id="127" w:name="_Toc12905"/>
      <w:bookmarkStart w:id="128" w:name="_Toc24175"/>
      <w:bookmarkStart w:id="129" w:name="_Toc24761"/>
      <w:bookmarkStart w:id="130" w:name="_Toc5557"/>
      <w:bookmarkStart w:id="131" w:name="_Toc18894"/>
      <w:r>
        <w:rPr>
          <w:rFonts w:hint="eastAsia" w:ascii="Times New Roman" w:hAnsi="Times New Roman" w:eastAsia="黑体" w:cs="黑体"/>
          <w:snapToGrid w:val="0"/>
          <w:color w:val="auto"/>
          <w:kern w:val="0"/>
          <w:sz w:val="24"/>
        </w:rPr>
        <w:t>3.1 ADR报告时限</w:t>
      </w:r>
      <w:bookmarkEnd w:id="121"/>
      <w:r>
        <w:rPr>
          <w:rFonts w:hint="eastAsia" w:ascii="Times New Roman" w:hAnsi="Times New Roman" w:eastAsia="黑体" w:cs="黑体"/>
          <w:snapToGrid w:val="0"/>
          <w:color w:val="auto"/>
          <w:kern w:val="0"/>
          <w:sz w:val="24"/>
        </w:rPr>
        <w:t>有哪些要求？</w:t>
      </w:r>
      <w:bookmarkEnd w:id="122"/>
      <w:bookmarkEnd w:id="123"/>
      <w:bookmarkEnd w:id="124"/>
      <w:bookmarkEnd w:id="125"/>
      <w:bookmarkEnd w:id="126"/>
      <w:bookmarkEnd w:id="127"/>
      <w:bookmarkEnd w:id="128"/>
      <w:bookmarkEnd w:id="129"/>
      <w:bookmarkEnd w:id="130"/>
      <w:bookmarkEnd w:id="131"/>
    </w:p>
    <w:p w14:paraId="7F36EAC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ADR报告时限通过“不良反应/事件发生时间”与“国家接收时间”之间的时间差来衡量。</w:t>
      </w:r>
      <w:r>
        <w:rPr>
          <w:rFonts w:ascii="Times New Roman" w:hAnsi="Times New Roman" w:eastAsia="宋体" w:cstheme="minorEastAsia"/>
          <w:snapToGrid w:val="0"/>
          <w:color w:val="auto"/>
          <w:kern w:val="0"/>
          <w:sz w:val="24"/>
          <w:lang w:bidi="ar"/>
        </w:rPr>
        <w:t>医疗机构发现或者获知新的、严重的</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ascii="Times New Roman" w:hAnsi="Times New Roman" w:eastAsia="宋体" w:cstheme="minorEastAsia"/>
          <w:snapToGrid w:val="0"/>
          <w:color w:val="auto"/>
          <w:kern w:val="0"/>
          <w:sz w:val="24"/>
          <w:lang w:bidi="ar"/>
        </w:rPr>
        <w:t>应当在15日内报告，其中死亡病例须立即报告；其他</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ascii="Times New Roman" w:hAnsi="Times New Roman" w:eastAsia="宋体" w:cstheme="minorEastAsia"/>
          <w:snapToGrid w:val="0"/>
          <w:color w:val="auto"/>
          <w:kern w:val="0"/>
          <w:sz w:val="24"/>
          <w:lang w:bidi="ar"/>
        </w:rPr>
        <w:t>应当在30日内报告。有随访信息的，应当及时报告。</w:t>
      </w:r>
      <w:r>
        <w:rPr>
          <w:rFonts w:hint="eastAsia" w:ascii="Times New Roman" w:hAnsi="Times New Roman" w:eastAsia="宋体" w:cstheme="minorEastAsia"/>
          <w:snapToGrid w:val="0"/>
          <w:color w:val="auto"/>
          <w:kern w:val="0"/>
          <w:sz w:val="24"/>
          <w:lang w:bidi="ar"/>
        </w:rPr>
        <w:t>药品群体不良事件需立即报告。</w:t>
      </w:r>
    </w:p>
    <w:p w14:paraId="60A53B4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由于ADR报告有明确的时限要求，医疗机构ADR专（兼）职人员应及时将收集的ADR报告上报国家药品不良反应监测系统。有些ADR转归时间可能较长，或者转归不明，可先上报，后期通过随访获得转归信息后，再在跟踪报告中补充。特殊情况下，ADR可依据获知之日起推算时限，但需在不良反应/事件过程描述或备注中说明获知事件的具体日期。有条件的医院可以建立医院短信平台，医务人员在医院内网填报药品不良反应/事件后，系统会自动发送短信告知医疗机构的ADR专（兼）职人员，以便及时处理。</w:t>
      </w:r>
    </w:p>
    <w:p w14:paraId="15DB712E">
      <w:pPr>
        <w:topLinePunct/>
        <w:adjustRightInd w:val="0"/>
        <w:snapToGrid w:val="0"/>
        <w:spacing w:line="360" w:lineRule="auto"/>
        <w:outlineLvl w:val="1"/>
        <w:rPr>
          <w:rFonts w:ascii="Times New Roman" w:hAnsi="Times New Roman" w:eastAsia="黑体" w:cs="黑体"/>
          <w:snapToGrid w:val="0"/>
          <w:color w:val="auto"/>
          <w:kern w:val="0"/>
          <w:sz w:val="24"/>
        </w:rPr>
      </w:pPr>
      <w:bookmarkStart w:id="132" w:name="_Toc29817"/>
      <w:bookmarkStart w:id="133" w:name="_Toc17580"/>
      <w:bookmarkStart w:id="134" w:name="_Toc3212"/>
      <w:bookmarkStart w:id="135" w:name="_Toc5947"/>
      <w:bookmarkStart w:id="136" w:name="_Toc27241"/>
      <w:bookmarkStart w:id="137" w:name="_Toc15503"/>
      <w:bookmarkStart w:id="138" w:name="_Toc21768"/>
      <w:bookmarkStart w:id="139" w:name="_Toc25570"/>
      <w:bookmarkStart w:id="140" w:name="_Toc1311"/>
      <w:bookmarkStart w:id="141" w:name="_Toc32660"/>
      <w:bookmarkStart w:id="142" w:name="_Toc11436"/>
      <w:r>
        <w:rPr>
          <w:rFonts w:hint="eastAsia" w:ascii="Times New Roman" w:hAnsi="Times New Roman" w:eastAsia="黑体" w:cs="黑体"/>
          <w:snapToGrid w:val="0"/>
          <w:color w:val="auto"/>
          <w:kern w:val="0"/>
          <w:sz w:val="24"/>
        </w:rPr>
        <w:t>3.2 ADR报告范围</w:t>
      </w:r>
      <w:bookmarkEnd w:id="132"/>
      <w:r>
        <w:rPr>
          <w:rFonts w:hint="eastAsia" w:ascii="Times New Roman" w:hAnsi="Times New Roman" w:eastAsia="黑体" w:cs="黑体"/>
          <w:snapToGrid w:val="0"/>
          <w:color w:val="auto"/>
          <w:kern w:val="0"/>
          <w:sz w:val="24"/>
        </w:rPr>
        <w:t>包括哪些？</w:t>
      </w:r>
      <w:bookmarkEnd w:id="133"/>
      <w:bookmarkEnd w:id="134"/>
      <w:bookmarkEnd w:id="135"/>
      <w:bookmarkEnd w:id="136"/>
      <w:bookmarkEnd w:id="137"/>
      <w:bookmarkEnd w:id="138"/>
      <w:bookmarkEnd w:id="139"/>
      <w:bookmarkEnd w:id="140"/>
      <w:bookmarkEnd w:id="141"/>
      <w:bookmarkEnd w:id="142"/>
    </w:p>
    <w:p w14:paraId="47F7C00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新药监测期内的国产药品应当报告该药品的所有不良反应；其他国产药品，报告新的和严重的不良反应。进口药品自首次获准进口之日起5年内，报告该进口药品的所有不良反应；满5年的，报告新的和严重的不良反应。</w:t>
      </w:r>
    </w:p>
    <w:p w14:paraId="16B45C6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当建立药物警戒管理制度，开展药物警戒活动，监测并报告ADR及其他与用药有关的有害反应。当患者使用药品出现与用药目的无关的有害反应，且无法排除该反应与药品之间存在的相关性时，均应遵循“可疑即报”的原则进行报告。药物警戒理念贯穿药品全生命周期，其不仅关注药品的不良反应，也涉及不合理用药、药品质量不合格等多种药品相关问题，因此，其报告范围更广，不仅包括药品在正常用法用量下出现的不良反应，也包括在超说明书用药情况下发生的有害反应，如超适应症用药、超剂量用药、</w:t>
      </w:r>
      <w:r>
        <w:rPr>
          <w:rFonts w:hint="eastAsia" w:ascii="Times New Roman" w:hAnsi="Times New Roman" w:eastAsia="宋体" w:cstheme="minorEastAsia"/>
          <w:snapToGrid w:val="0"/>
          <w:color w:val="auto"/>
          <w:kern w:val="0"/>
          <w:sz w:val="24"/>
          <w:lang w:eastAsia="zh-CN" w:bidi="ar"/>
        </w:rPr>
        <w:t>禁忌证</w:t>
      </w:r>
      <w:r>
        <w:rPr>
          <w:rFonts w:hint="eastAsia" w:ascii="Times New Roman" w:hAnsi="Times New Roman" w:eastAsia="宋体" w:cstheme="minorEastAsia"/>
          <w:snapToGrid w:val="0"/>
          <w:color w:val="auto"/>
          <w:kern w:val="0"/>
          <w:sz w:val="24"/>
          <w:lang w:bidi="ar"/>
        </w:rPr>
        <w:t>用药等，以及怀疑因药品质量问题引起的有害反应等。此外，还应收集药物过量信息、药物与药物不良相互作用（如丙戊酸钠与美罗培南同用，丙戊酸钠血药浓度显著降低，增加患者癫痫发作风险）、药物与食物不良相互作用（如服用华法林期间食用葡萄柚，患者国际标准化比值INR升至7.90，出现皮下血肿）等。</w:t>
      </w:r>
    </w:p>
    <w:p w14:paraId="5975A8B1">
      <w:pPr>
        <w:topLinePunct/>
        <w:adjustRightInd w:val="0"/>
        <w:snapToGrid w:val="0"/>
        <w:spacing w:line="360" w:lineRule="auto"/>
        <w:outlineLvl w:val="1"/>
        <w:rPr>
          <w:rFonts w:ascii="Times New Roman" w:hAnsi="Times New Roman" w:eastAsia="黑体" w:cs="黑体"/>
          <w:snapToGrid w:val="0"/>
          <w:color w:val="auto"/>
          <w:kern w:val="0"/>
          <w:sz w:val="24"/>
        </w:rPr>
      </w:pPr>
      <w:bookmarkStart w:id="143" w:name="_Toc32448"/>
      <w:bookmarkStart w:id="144" w:name="_Toc12461"/>
      <w:bookmarkStart w:id="145" w:name="_Toc19042"/>
      <w:bookmarkStart w:id="146" w:name="_Toc32340"/>
      <w:bookmarkStart w:id="147" w:name="_Toc13233"/>
      <w:bookmarkStart w:id="148" w:name="_Toc17982"/>
      <w:bookmarkStart w:id="149" w:name="_Toc30820"/>
      <w:bookmarkStart w:id="150" w:name="_Toc19925"/>
      <w:bookmarkStart w:id="151" w:name="_Toc30278"/>
      <w:bookmarkStart w:id="152" w:name="_Toc12072"/>
      <w:bookmarkStart w:id="153" w:name="_Toc2559"/>
      <w:r>
        <w:rPr>
          <w:rFonts w:hint="eastAsia" w:ascii="Times New Roman" w:hAnsi="Times New Roman" w:eastAsia="黑体" w:cs="黑体"/>
          <w:snapToGrid w:val="0"/>
          <w:color w:val="auto"/>
          <w:kern w:val="0"/>
          <w:sz w:val="24"/>
        </w:rPr>
        <w:t>3.3 疫苗不良反应/事件</w:t>
      </w:r>
      <w:bookmarkEnd w:id="143"/>
      <w:r>
        <w:rPr>
          <w:rFonts w:hint="eastAsia" w:ascii="Times New Roman" w:hAnsi="Times New Roman" w:eastAsia="黑体" w:cs="黑体"/>
          <w:snapToGrid w:val="0"/>
          <w:color w:val="auto"/>
          <w:kern w:val="0"/>
          <w:sz w:val="24"/>
        </w:rPr>
        <w:t>如何上报？</w:t>
      </w:r>
      <w:bookmarkEnd w:id="144"/>
      <w:bookmarkEnd w:id="145"/>
      <w:bookmarkEnd w:id="146"/>
      <w:bookmarkEnd w:id="147"/>
      <w:bookmarkEnd w:id="148"/>
      <w:bookmarkEnd w:id="149"/>
      <w:bookmarkEnd w:id="150"/>
      <w:bookmarkEnd w:id="151"/>
      <w:bookmarkEnd w:id="152"/>
      <w:bookmarkEnd w:id="153"/>
    </w:p>
    <w:p w14:paraId="7AB169D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疫苗不良反应是指合格的疫苗在实施规范接种后，发生与预防接种目的无关或意外的有害反应。为做好疫苗使用安全性监测工作，2010年6月3日卫生部与国家食品药品监管局组织制定了《全国疑似预防接种异常反应监测方案》，其中医疗机构职责是向所在地的县级疾病预防控制机构报告所发现的疑似预防接种异常反应。</w:t>
      </w:r>
    </w:p>
    <w:p w14:paraId="2332C8F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在国家药品不良反应监测系统填报ADR药品信息时，下方会有红字提示：涉及疑似预防接种异常反应（AEFI）的，请遵照《中华人民共和国疫苗管理法》第五十四条第一款“接种单位、医疗机构等发现疑似预防接种异常反应的，应当按照规定向疾病预防控制机构报告”的要求进行报告。因此，接种疫苗出现不良反应/事件不纳入国家药品不良反应监测系统上报范围。</w:t>
      </w:r>
    </w:p>
    <w:p w14:paraId="49D10AB0">
      <w:pPr>
        <w:topLinePunct/>
        <w:adjustRightInd w:val="0"/>
        <w:snapToGrid w:val="0"/>
        <w:spacing w:line="360" w:lineRule="auto"/>
        <w:outlineLvl w:val="1"/>
        <w:rPr>
          <w:rFonts w:ascii="Times New Roman" w:hAnsi="Times New Roman" w:eastAsia="黑体" w:cs="黑体"/>
          <w:snapToGrid w:val="0"/>
          <w:color w:val="auto"/>
          <w:kern w:val="0"/>
          <w:sz w:val="24"/>
        </w:rPr>
      </w:pPr>
      <w:bookmarkStart w:id="154" w:name="_Toc22503"/>
      <w:bookmarkStart w:id="155" w:name="_Toc378"/>
      <w:bookmarkStart w:id="156" w:name="_Toc14897"/>
      <w:bookmarkStart w:id="157" w:name="_Toc14743"/>
      <w:bookmarkStart w:id="158" w:name="_Toc829"/>
      <w:bookmarkStart w:id="159" w:name="_Toc8332"/>
      <w:bookmarkStart w:id="160" w:name="_Toc5752"/>
      <w:bookmarkStart w:id="161" w:name="_Toc25567"/>
      <w:bookmarkStart w:id="162" w:name="_Toc17874"/>
      <w:bookmarkStart w:id="163" w:name="_Toc32369"/>
      <w:bookmarkStart w:id="164" w:name="_Toc5301"/>
      <w:r>
        <w:rPr>
          <w:rFonts w:hint="eastAsia" w:ascii="Times New Roman" w:hAnsi="Times New Roman" w:eastAsia="黑体" w:cs="黑体"/>
          <w:snapToGrid w:val="0"/>
          <w:color w:val="auto"/>
          <w:kern w:val="0"/>
          <w:sz w:val="24"/>
        </w:rPr>
        <w:t>3.4 中药饮片及中药配方颗粒不良反应/事件</w:t>
      </w:r>
      <w:bookmarkEnd w:id="154"/>
      <w:r>
        <w:rPr>
          <w:rFonts w:hint="eastAsia" w:ascii="Times New Roman" w:hAnsi="Times New Roman" w:eastAsia="黑体" w:cs="黑体"/>
          <w:snapToGrid w:val="0"/>
          <w:color w:val="auto"/>
          <w:kern w:val="0"/>
          <w:sz w:val="24"/>
        </w:rPr>
        <w:t>如何上报？</w:t>
      </w:r>
      <w:bookmarkEnd w:id="155"/>
      <w:bookmarkEnd w:id="156"/>
      <w:bookmarkEnd w:id="157"/>
      <w:bookmarkEnd w:id="158"/>
      <w:bookmarkEnd w:id="159"/>
      <w:bookmarkEnd w:id="160"/>
      <w:bookmarkEnd w:id="161"/>
      <w:bookmarkEnd w:id="162"/>
      <w:bookmarkEnd w:id="163"/>
      <w:bookmarkEnd w:id="164"/>
    </w:p>
    <w:p w14:paraId="0C9F55C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医疗机构应加强对中药饮片不良反应的监测和收集，发现中药饮片及中药配方颗粒不良反应/事件应及时上报，同时建立中药饮片、中药配方颗粒临床的常规监测和预警体系，定期监测临床应用情况</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促进中药饮片及中药配方颗粒规范合理应用。</w:t>
      </w:r>
    </w:p>
    <w:p w14:paraId="01489AB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目前我国对于中药饮片和中药配方颗粒的不良反应监测和报告尚无具体的要求，可参考《药品不良反应报告和监测管理办法》“个例药品不良反应”要求，仅报告新的和严重的不良反</w:t>
      </w:r>
      <w:r>
        <w:rPr>
          <w:rFonts w:hint="eastAsia" w:ascii="Times New Roman" w:hAnsi="Times New Roman" w:eastAsia="宋体" w:cstheme="minorEastAsia"/>
          <w:snapToGrid w:val="0"/>
          <w:color w:val="auto"/>
          <w:kern w:val="0"/>
          <w:sz w:val="24"/>
          <w:highlight w:val="none"/>
          <w:lang w:bidi="ar"/>
        </w:rPr>
        <w:t>应</w:t>
      </w:r>
      <w:r>
        <w:rPr>
          <w:rFonts w:hint="eastAsia" w:ascii="Times New Roman" w:hAnsi="Times New Roman" w:eastAsia="宋体" w:cstheme="minorEastAsia"/>
          <w:snapToGrid w:val="0"/>
          <w:color w:val="auto"/>
          <w:kern w:val="0"/>
          <w:sz w:val="24"/>
          <w:highlight w:val="none"/>
          <w:lang w:eastAsia="zh-CN" w:bidi="ar"/>
        </w:rPr>
        <w:t>，</w:t>
      </w:r>
      <w:r>
        <w:rPr>
          <w:rFonts w:hint="eastAsia" w:ascii="Times New Roman" w:hAnsi="Times New Roman" w:eastAsia="宋体" w:cstheme="minorEastAsia"/>
          <w:snapToGrid w:val="0"/>
          <w:color w:val="auto"/>
          <w:kern w:val="0"/>
          <w:sz w:val="24"/>
          <w:highlight w:val="none"/>
          <w:lang w:bidi="ar"/>
        </w:rPr>
        <w:t>并</w:t>
      </w:r>
      <w:r>
        <w:rPr>
          <w:rFonts w:ascii="Times New Roman" w:hAnsi="Times New Roman" w:eastAsia="宋体" w:cstheme="minorEastAsia"/>
          <w:snapToGrid w:val="0"/>
          <w:color w:val="auto"/>
          <w:kern w:val="0"/>
          <w:sz w:val="24"/>
          <w:highlight w:val="none"/>
          <w:lang w:bidi="ar"/>
        </w:rPr>
        <w:t>将关键</w:t>
      </w:r>
      <w:r>
        <w:rPr>
          <w:rFonts w:hint="eastAsia" w:ascii="Times New Roman" w:hAnsi="Times New Roman" w:eastAsia="宋体" w:cstheme="minorEastAsia"/>
          <w:snapToGrid w:val="0"/>
          <w:color w:val="auto"/>
          <w:kern w:val="0"/>
          <w:sz w:val="24"/>
          <w:highlight w:val="none"/>
          <w:lang w:bidi="ar"/>
        </w:rPr>
        <w:t>病例资料</w:t>
      </w:r>
      <w:r>
        <w:rPr>
          <w:rFonts w:ascii="Times New Roman" w:hAnsi="Times New Roman" w:eastAsia="宋体" w:cstheme="minorEastAsia"/>
          <w:snapToGrid w:val="0"/>
          <w:color w:val="auto"/>
          <w:kern w:val="0"/>
          <w:sz w:val="24"/>
          <w:highlight w:val="none"/>
          <w:lang w:bidi="ar"/>
        </w:rPr>
        <w:t>作为附件上传</w:t>
      </w:r>
      <w:r>
        <w:rPr>
          <w:rFonts w:hint="eastAsia" w:ascii="Times New Roman" w:hAnsi="Times New Roman" w:eastAsia="宋体" w:cstheme="minorEastAsia"/>
          <w:snapToGrid w:val="0"/>
          <w:color w:val="auto"/>
          <w:kern w:val="0"/>
          <w:sz w:val="24"/>
          <w:highlight w:val="none"/>
          <w:lang w:eastAsia="zh-CN" w:bidi="ar"/>
        </w:rPr>
        <w:t>。</w:t>
      </w:r>
      <w:r>
        <w:rPr>
          <w:rFonts w:hint="eastAsia" w:ascii="Times New Roman" w:hAnsi="Times New Roman" w:eastAsia="宋体" w:cstheme="minorEastAsia"/>
          <w:snapToGrid w:val="0"/>
          <w:color w:val="auto"/>
          <w:kern w:val="0"/>
          <w:sz w:val="24"/>
          <w:highlight w:val="none"/>
          <w:lang w:bidi="ar"/>
        </w:rPr>
        <w:t>对于中医临床</w:t>
      </w:r>
      <w:r>
        <w:rPr>
          <w:rFonts w:hint="eastAsia" w:ascii="Times New Roman" w:hAnsi="Times New Roman" w:eastAsia="宋体" w:cstheme="minorEastAsia"/>
          <w:snapToGrid w:val="0"/>
          <w:color w:val="auto"/>
          <w:kern w:val="0"/>
          <w:sz w:val="24"/>
          <w:highlight w:val="none"/>
          <w:lang w:val="en-US" w:eastAsia="zh-CN" w:bidi="ar"/>
        </w:rPr>
        <w:t>开具</w:t>
      </w:r>
      <w:r>
        <w:rPr>
          <w:rFonts w:hint="eastAsia" w:ascii="Times New Roman" w:hAnsi="Times New Roman" w:eastAsia="宋体" w:cstheme="minorEastAsia"/>
          <w:snapToGrid w:val="0"/>
          <w:color w:val="auto"/>
          <w:kern w:val="0"/>
          <w:sz w:val="24"/>
          <w:highlight w:val="none"/>
          <w:lang w:bidi="ar"/>
        </w:rPr>
        <w:t>的中药方剂，此栏中仅填写怀疑导致产生不良反应的中药饮片或配方颗粒的相关信息。怀疑多种中药饮片或配</w:t>
      </w:r>
      <w:r>
        <w:rPr>
          <w:rFonts w:hint="eastAsia" w:ascii="Times New Roman" w:hAnsi="Times New Roman" w:eastAsia="宋体" w:cstheme="minorEastAsia"/>
          <w:snapToGrid w:val="0"/>
          <w:color w:val="auto"/>
          <w:kern w:val="0"/>
          <w:sz w:val="24"/>
          <w:lang w:bidi="ar"/>
        </w:rPr>
        <w:t>方颗粒时，点击“添加”填写单种中药饮片或配方颗粒的相关信息。其它配方使用的中药饮片或配方颗粒仅在“不良反应/事件过程描述”中体现即可。</w:t>
      </w:r>
    </w:p>
    <w:p w14:paraId="6722A34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目前我国尚未对中药饮片（少部分中药饮片有批准文号，如胆南星、滑石粉等）及中药配方颗粒实施批准文号管理，在ADR填报过程中可能出现批准文号缺失的情况，可填写“无”（批准文号并非必填项）。中药配方颗粒可填写备案号，如上市备字4222000******、跨省备字5423001******。通过中药材、中药配方颗粒的标签，可获取备案号、生产厂家、生产批号等药品信息。“剂型”栏，中药饮片选择“中药材”，中药配方颗粒选择“中药配方颗粒”。“用药原因”在填写现代医学疾病的同时，鼓励填写中医</w:t>
      </w:r>
      <w:r>
        <w:rPr>
          <w:rFonts w:hint="eastAsia" w:ascii="Times New Roman" w:hAnsi="Times New Roman" w:eastAsia="宋体" w:cstheme="minorEastAsia"/>
          <w:snapToGrid w:val="0"/>
          <w:color w:val="auto"/>
          <w:kern w:val="0"/>
          <w:sz w:val="24"/>
          <w:lang w:eastAsia="zh-CN" w:bidi="ar"/>
        </w:rPr>
        <w:t>辨证论治</w:t>
      </w:r>
      <w:r>
        <w:rPr>
          <w:rFonts w:hint="eastAsia" w:ascii="Times New Roman" w:hAnsi="Times New Roman" w:eastAsia="宋体" w:cstheme="minorEastAsia"/>
          <w:snapToGrid w:val="0"/>
          <w:color w:val="auto"/>
          <w:kern w:val="0"/>
          <w:sz w:val="24"/>
          <w:lang w:bidi="ar"/>
        </w:rPr>
        <w:t>，如“降低血糖；益气养阴”。</w:t>
      </w:r>
    </w:p>
    <w:p w14:paraId="70857C32">
      <w:pPr>
        <w:topLinePunct/>
        <w:adjustRightInd w:val="0"/>
        <w:snapToGrid w:val="0"/>
        <w:spacing w:line="360" w:lineRule="auto"/>
        <w:outlineLvl w:val="1"/>
        <w:rPr>
          <w:rFonts w:ascii="Times New Roman" w:hAnsi="Times New Roman" w:eastAsia="黑体" w:cs="黑体"/>
          <w:snapToGrid w:val="0"/>
          <w:color w:val="auto"/>
          <w:kern w:val="0"/>
          <w:sz w:val="24"/>
        </w:rPr>
      </w:pPr>
      <w:bookmarkStart w:id="165" w:name="_Toc1793"/>
      <w:bookmarkStart w:id="166" w:name="_Toc24387"/>
      <w:bookmarkStart w:id="167" w:name="_Toc1991"/>
      <w:bookmarkStart w:id="168" w:name="_Toc24368"/>
      <w:bookmarkStart w:id="169" w:name="_Toc15436"/>
      <w:bookmarkStart w:id="170" w:name="_Toc11827"/>
      <w:bookmarkStart w:id="171" w:name="_Toc25858"/>
      <w:bookmarkStart w:id="172" w:name="_Toc10226"/>
      <w:bookmarkStart w:id="173" w:name="_Toc1361"/>
      <w:bookmarkStart w:id="174" w:name="_Toc15803"/>
      <w:r>
        <w:rPr>
          <w:rFonts w:hint="eastAsia" w:ascii="Times New Roman" w:hAnsi="Times New Roman" w:eastAsia="黑体" w:cs="黑体"/>
          <w:snapToGrid w:val="0"/>
          <w:color w:val="auto"/>
          <w:kern w:val="0"/>
          <w:sz w:val="24"/>
        </w:rPr>
        <w:t>3.5 医疗机构制剂不良反应/事件如何上报？</w:t>
      </w:r>
      <w:bookmarkEnd w:id="165"/>
      <w:bookmarkEnd w:id="166"/>
      <w:bookmarkEnd w:id="167"/>
      <w:bookmarkEnd w:id="168"/>
      <w:bookmarkEnd w:id="169"/>
      <w:bookmarkEnd w:id="170"/>
      <w:bookmarkEnd w:id="171"/>
      <w:bookmarkEnd w:id="172"/>
      <w:bookmarkEnd w:id="173"/>
      <w:bookmarkEnd w:id="174"/>
    </w:p>
    <w:p w14:paraId="31FF55C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医疗机构制剂配制单位和调剂使用单位作为医疗机构制剂安全的主体责任人，应建立医疗机构制剂不良反应报告和监测管理制度，全面科学地开展医疗机构制剂不良反应报告、监测、评价和风险管理工作。</w:t>
      </w:r>
    </w:p>
    <w:p w14:paraId="07F9544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医疗机构制剂配制单位和调剂使用单位在获知或发现医疗机构制剂不良反应时应严格履行报告责任，按照“可疑即报”的原则，通过“国家药品不良反应监测系统”上报全部医疗机构制剂不良反应报告，报告内容应当真实、完整、准确。“批准文号”栏，填写医疗机构制剂批准文号，格式为：鄂药制字H（Z）+4位年号+4位流水号，需要手工填写。</w:t>
      </w:r>
    </w:p>
    <w:p w14:paraId="2C3433BA">
      <w:pPr>
        <w:topLinePunct/>
        <w:adjustRightInd w:val="0"/>
        <w:snapToGrid w:val="0"/>
        <w:spacing w:line="360" w:lineRule="auto"/>
        <w:outlineLvl w:val="1"/>
        <w:rPr>
          <w:rFonts w:ascii="Times New Roman" w:hAnsi="Times New Roman" w:eastAsia="黑体" w:cs="黑体"/>
          <w:snapToGrid w:val="0"/>
          <w:color w:val="auto"/>
          <w:kern w:val="0"/>
          <w:sz w:val="24"/>
        </w:rPr>
      </w:pPr>
      <w:bookmarkStart w:id="175" w:name="_Toc478"/>
      <w:bookmarkStart w:id="176" w:name="_Toc15294"/>
      <w:bookmarkStart w:id="177" w:name="_Toc1259"/>
      <w:bookmarkStart w:id="178" w:name="_Toc7127"/>
      <w:bookmarkStart w:id="179" w:name="_Toc32743"/>
      <w:bookmarkStart w:id="180" w:name="_Toc12587"/>
      <w:bookmarkStart w:id="181" w:name="_Toc16843"/>
      <w:bookmarkStart w:id="182" w:name="_Toc6125"/>
      <w:bookmarkStart w:id="183" w:name="_Toc28844"/>
      <w:bookmarkStart w:id="184" w:name="_Toc8157"/>
      <w:r>
        <w:rPr>
          <w:rFonts w:hint="eastAsia" w:ascii="Times New Roman" w:hAnsi="Times New Roman" w:eastAsia="黑体" w:cs="黑体"/>
          <w:snapToGrid w:val="0"/>
          <w:color w:val="auto"/>
          <w:kern w:val="0"/>
          <w:sz w:val="24"/>
        </w:rPr>
        <w:t>3.6 非药品导致的不良反应/事件可以在国家药品不良反应监测系统上报告吗？</w:t>
      </w:r>
      <w:bookmarkEnd w:id="175"/>
      <w:bookmarkEnd w:id="176"/>
      <w:bookmarkEnd w:id="177"/>
      <w:bookmarkEnd w:id="178"/>
      <w:bookmarkEnd w:id="179"/>
      <w:bookmarkEnd w:id="180"/>
      <w:bookmarkEnd w:id="181"/>
      <w:bookmarkEnd w:id="182"/>
      <w:bookmarkEnd w:id="183"/>
      <w:bookmarkEnd w:id="184"/>
    </w:p>
    <w:p w14:paraId="4C84C31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bookmarkStart w:id="185" w:name="_Toc10284"/>
      <w:r>
        <w:rPr>
          <w:rFonts w:hint="eastAsia" w:ascii="Times New Roman" w:hAnsi="Times New Roman" w:eastAsia="宋体" w:cstheme="minorEastAsia"/>
          <w:snapToGrid w:val="0"/>
          <w:color w:val="auto"/>
          <w:kern w:val="0"/>
          <w:sz w:val="24"/>
          <w:lang w:bidi="ar"/>
        </w:rPr>
        <w:t>保健品、消毒产品（如碘伏、75%酒精）、化妆品、医疗器械不是药品，不纳入国家药品不良反应监测系统上报范围</w:t>
      </w:r>
      <w:r>
        <w:rPr>
          <w:rFonts w:hint="eastAsia" w:ascii="Times New Roman" w:hAnsi="Times New Roman" w:eastAsia="宋体" w:cstheme="minorEastAsia"/>
          <w:snapToGrid w:val="0"/>
          <w:color w:val="auto"/>
          <w:kern w:val="0"/>
          <w:sz w:val="24"/>
          <w:lang w:eastAsia="zh-CN" w:bidi="ar"/>
        </w:rPr>
        <w:t>，如怀疑上述产品与药品的相互作用导致了不良反应，应在药品不良反应报告中予以说明</w:t>
      </w:r>
      <w:r>
        <w:rPr>
          <w:rFonts w:hint="eastAsia" w:ascii="Times New Roman" w:hAnsi="Times New Roman" w:eastAsia="宋体" w:cstheme="minorEastAsia"/>
          <w:snapToGrid w:val="0"/>
          <w:color w:val="auto"/>
          <w:kern w:val="0"/>
          <w:sz w:val="24"/>
          <w:lang w:bidi="ar"/>
        </w:rPr>
        <w:t>。其中化妆品、医疗器械不良反应/事件、药物滥用有专门的上报系统。在上报药品群体不良反应/事件时，需一并报告与怀疑药品同时使用且可能与群体不良事件相关的注射器、输液器等医疗器械。</w:t>
      </w:r>
    </w:p>
    <w:p w14:paraId="18635BA3">
      <w:pPr>
        <w:rPr>
          <w:rFonts w:ascii="Times New Roman" w:hAnsi="Times New Roman" w:eastAsia="黑体" w:cs="黑体"/>
          <w:snapToGrid w:val="0"/>
          <w:color w:val="auto"/>
          <w:kern w:val="0"/>
          <w:sz w:val="24"/>
          <w:lang w:bidi="ar"/>
        </w:rPr>
      </w:pPr>
      <w:r>
        <w:rPr>
          <w:rFonts w:hint="eastAsia" w:ascii="Times New Roman" w:hAnsi="Times New Roman" w:eastAsia="黑体" w:cs="黑体"/>
          <w:snapToGrid w:val="0"/>
          <w:color w:val="auto"/>
          <w:kern w:val="0"/>
          <w:sz w:val="24"/>
          <w:lang w:bidi="ar"/>
        </w:rPr>
        <w:br w:type="page"/>
      </w:r>
    </w:p>
    <w:p w14:paraId="5A919A3F">
      <w:pPr>
        <w:topLinePunct/>
        <w:adjustRightInd w:val="0"/>
        <w:snapToGrid w:val="0"/>
        <w:spacing w:line="360" w:lineRule="auto"/>
        <w:outlineLvl w:val="0"/>
        <w:rPr>
          <w:rFonts w:ascii="Times New Roman" w:hAnsi="Times New Roman" w:eastAsia="黑体" w:cs="黑体"/>
          <w:snapToGrid w:val="0"/>
          <w:color w:val="auto"/>
          <w:kern w:val="0"/>
          <w:sz w:val="24"/>
          <w:lang w:bidi="ar"/>
        </w:rPr>
      </w:pPr>
      <w:bookmarkStart w:id="186" w:name="_Toc5571"/>
      <w:bookmarkStart w:id="187" w:name="_Toc7056"/>
      <w:bookmarkStart w:id="188" w:name="_Toc23246"/>
      <w:bookmarkStart w:id="189" w:name="_Toc1451"/>
      <w:bookmarkStart w:id="190" w:name="_Toc6325"/>
      <w:bookmarkStart w:id="191" w:name="_Toc28798"/>
      <w:bookmarkStart w:id="192" w:name="_Toc24476"/>
      <w:bookmarkStart w:id="193" w:name="_Toc29927"/>
      <w:bookmarkStart w:id="194" w:name="_Toc26694"/>
      <w:bookmarkStart w:id="195" w:name="_Toc25070"/>
      <w:r>
        <w:rPr>
          <w:rFonts w:hint="default" w:ascii="Times New Roman" w:hAnsi="Times New Roman" w:eastAsia="黑体" w:cs="黑体"/>
          <w:snapToGrid w:val="0"/>
          <w:color w:val="auto"/>
          <w:kern w:val="0"/>
          <w:sz w:val="24"/>
          <w:lang w:bidi="ar"/>
        </w:rPr>
        <w:t>4 国家药品不良反应监测系统操作指南</w:t>
      </w:r>
      <w:bookmarkEnd w:id="186"/>
      <w:bookmarkEnd w:id="187"/>
      <w:bookmarkEnd w:id="188"/>
      <w:bookmarkEnd w:id="189"/>
      <w:bookmarkEnd w:id="190"/>
      <w:bookmarkEnd w:id="191"/>
      <w:bookmarkEnd w:id="192"/>
      <w:bookmarkEnd w:id="193"/>
      <w:bookmarkEnd w:id="194"/>
      <w:bookmarkEnd w:id="195"/>
    </w:p>
    <w:p w14:paraId="3C683D1E">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196" w:name="_Toc23973"/>
      <w:bookmarkStart w:id="197" w:name="_Toc32616"/>
      <w:bookmarkStart w:id="198" w:name="_Toc11647"/>
      <w:bookmarkStart w:id="199" w:name="_Toc2993"/>
      <w:bookmarkStart w:id="200" w:name="_Toc23529"/>
      <w:bookmarkStart w:id="201" w:name="_Toc23337"/>
      <w:bookmarkStart w:id="202" w:name="_Toc29470"/>
      <w:bookmarkStart w:id="203" w:name="_Toc2353"/>
      <w:bookmarkStart w:id="204" w:name="_Toc19168"/>
      <w:bookmarkStart w:id="205" w:name="_Toc20072"/>
      <w:bookmarkStart w:id="206" w:name="_Toc3140"/>
      <w:r>
        <w:rPr>
          <w:rFonts w:hint="eastAsia" w:ascii="Times New Roman" w:hAnsi="Times New Roman" w:eastAsia="黑体" w:cs="黑体"/>
          <w:snapToGrid w:val="0"/>
          <w:color w:val="auto"/>
          <w:kern w:val="0"/>
          <w:sz w:val="24"/>
          <w:lang w:bidi="ar"/>
        </w:rPr>
        <w:t>4.1 登录</w:t>
      </w:r>
      <w:bookmarkEnd w:id="196"/>
      <w:r>
        <w:rPr>
          <w:rFonts w:hint="eastAsia" w:ascii="Times New Roman" w:hAnsi="Times New Roman" w:eastAsia="黑体" w:cs="黑体"/>
          <w:snapToGrid w:val="0"/>
          <w:color w:val="auto"/>
          <w:kern w:val="0"/>
          <w:sz w:val="24"/>
          <w:lang w:bidi="ar"/>
        </w:rPr>
        <w:t>与注册</w:t>
      </w:r>
      <w:bookmarkEnd w:id="197"/>
      <w:bookmarkEnd w:id="198"/>
      <w:bookmarkEnd w:id="199"/>
      <w:bookmarkEnd w:id="200"/>
      <w:bookmarkEnd w:id="201"/>
      <w:bookmarkEnd w:id="202"/>
      <w:bookmarkEnd w:id="203"/>
      <w:bookmarkEnd w:id="204"/>
      <w:bookmarkEnd w:id="205"/>
      <w:bookmarkEnd w:id="206"/>
    </w:p>
    <w:p w14:paraId="72001DB4">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575810" cy="1604645"/>
            <wp:effectExtent l="0" t="0" r="15240" b="1460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4575810" cy="1604645"/>
                    </a:xfrm>
                    <a:prstGeom prst="rect">
                      <a:avLst/>
                    </a:prstGeom>
                    <a:noFill/>
                    <a:ln>
                      <a:noFill/>
                    </a:ln>
                  </pic:spPr>
                </pic:pic>
              </a:graphicData>
            </a:graphic>
          </wp:inline>
        </w:drawing>
      </w:r>
    </w:p>
    <w:p w14:paraId="53381214">
      <w:pPr>
        <w:topLinePunct/>
        <w:adjustRightInd w:val="0"/>
        <w:snapToGrid w:val="0"/>
        <w:jc w:val="center"/>
        <w:rPr>
          <w:rFonts w:ascii="Times New Roman" w:hAnsi="Times New Roman"/>
          <w:color w:val="auto"/>
          <w:sz w:val="18"/>
          <w:szCs w:val="18"/>
        </w:rPr>
      </w:pPr>
      <w:r>
        <w:rPr>
          <w:rFonts w:hint="eastAsia" w:ascii="Times New Roman" w:hAnsi="Times New Roman"/>
          <w:color w:val="auto"/>
          <w:sz w:val="18"/>
          <w:szCs w:val="18"/>
        </w:rPr>
        <w:t>图1 登录页面</w:t>
      </w:r>
    </w:p>
    <w:p w14:paraId="06141B2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国家药品不良反应监测系统登录网址为：</w:t>
      </w:r>
      <w:r>
        <w:rPr>
          <w:rFonts w:hint="eastAsia" w:ascii="Times New Roman" w:hAnsi="Times New Roman" w:eastAsia="宋体" w:cstheme="minorEastAsia"/>
          <w:snapToGrid w:val="0"/>
          <w:color w:val="auto"/>
          <w:kern w:val="0"/>
          <w:sz w:val="24"/>
          <w:u w:val="single"/>
          <w:lang w:bidi="ar"/>
        </w:rPr>
        <w:t>https://haers.adrs.org.cn</w:t>
      </w:r>
      <w:r>
        <w:rPr>
          <w:rFonts w:hint="eastAsia" w:ascii="Times New Roman" w:hAnsi="Times New Roman" w:eastAsia="宋体" w:cstheme="minorEastAsia"/>
          <w:snapToGrid w:val="0"/>
          <w:color w:val="auto"/>
          <w:kern w:val="0"/>
          <w:sz w:val="24"/>
          <w:lang w:bidi="ar"/>
        </w:rPr>
        <w:t>。在合适的浏览器（使用360浏览器时，需切换成极速模式）中输入网址，进入登录页面（图1），输入正确的账号、密码以及验证码后，就可以进入国家药品不良反应监测系统。</w:t>
      </w:r>
    </w:p>
    <w:p w14:paraId="13482138">
      <w:pPr>
        <w:topLinePunct/>
        <w:adjustRightInd w:val="0"/>
        <w:snapToGrid w:val="0"/>
        <w:spacing w:line="360" w:lineRule="auto"/>
        <w:ind w:firstLine="480" w:firstLineChars="200"/>
        <w:rPr>
          <w:rFonts w:hint="eastAsia" w:ascii="Times New Roman" w:hAnsi="Times New Roman" w:eastAsia="宋体" w:cstheme="minorEastAsia"/>
          <w:snapToGrid w:val="0"/>
          <w:color w:val="auto"/>
          <w:kern w:val="0"/>
          <w:sz w:val="24"/>
          <w:lang w:eastAsia="zh-CN" w:bidi="ar"/>
        </w:rPr>
      </w:pPr>
      <w:r>
        <w:rPr>
          <w:rFonts w:hint="eastAsia" w:ascii="Times New Roman" w:hAnsi="Times New Roman" w:eastAsia="宋体" w:cstheme="minorEastAsia"/>
          <w:snapToGrid w:val="0"/>
          <w:color w:val="auto"/>
          <w:kern w:val="0"/>
          <w:sz w:val="24"/>
          <w:lang w:bidi="ar"/>
        </w:rPr>
        <w:t>新用户可点击图1“基层注册”，按弹出页面要求填写相关信息进行机构注册。审核完成后，审核结果将发送到注册邮箱</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若审核通过，将收到管理员用户名和密码，可登录系统。若审核不通过，请根据收到的审核结果意见完善注册信息并再次提交。注册邮箱应妥善保管，后续忘记</w:t>
      </w:r>
      <w:r>
        <w:rPr>
          <w:rFonts w:hint="eastAsia" w:ascii="Times New Roman" w:hAnsi="Times New Roman" w:eastAsia="宋体" w:cstheme="minorEastAsia"/>
          <w:snapToGrid w:val="0"/>
          <w:color w:val="auto"/>
          <w:kern w:val="0"/>
          <w:sz w:val="24"/>
          <w:lang w:eastAsia="zh-CN" w:bidi="ar"/>
        </w:rPr>
        <w:t>登录</w:t>
      </w:r>
      <w:r>
        <w:rPr>
          <w:rFonts w:hint="eastAsia" w:ascii="Times New Roman" w:hAnsi="Times New Roman" w:eastAsia="宋体" w:cstheme="minorEastAsia"/>
          <w:snapToGrid w:val="0"/>
          <w:color w:val="auto"/>
          <w:kern w:val="0"/>
          <w:sz w:val="24"/>
          <w:lang w:bidi="ar"/>
        </w:rPr>
        <w:t>密码需通过注册邮箱找</w:t>
      </w:r>
      <w:r>
        <w:rPr>
          <w:rFonts w:hint="eastAsia" w:ascii="Times New Roman" w:hAnsi="Times New Roman" w:eastAsia="宋体" w:cstheme="minorEastAsia"/>
          <w:snapToGrid w:val="0"/>
          <w:color w:val="auto"/>
          <w:kern w:val="0"/>
          <w:sz w:val="24"/>
          <w:lang w:val="en-US" w:eastAsia="zh-CN" w:bidi="ar"/>
        </w:rPr>
        <w:t>回</w:t>
      </w:r>
      <w:r>
        <w:rPr>
          <w:rFonts w:hint="eastAsia" w:ascii="Times New Roman" w:hAnsi="Times New Roman" w:eastAsia="宋体" w:cstheme="minorEastAsia"/>
          <w:snapToGrid w:val="0"/>
          <w:color w:val="auto"/>
          <w:kern w:val="0"/>
          <w:sz w:val="24"/>
          <w:lang w:eastAsia="zh-CN" w:bidi="ar"/>
        </w:rPr>
        <w:t>。</w:t>
      </w:r>
    </w:p>
    <w:p w14:paraId="3CF1813D">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207" w:name="_Toc26391"/>
      <w:bookmarkStart w:id="208" w:name="_Toc31514"/>
      <w:bookmarkStart w:id="209" w:name="_Toc499"/>
      <w:bookmarkStart w:id="210" w:name="_Toc9107"/>
      <w:bookmarkStart w:id="211" w:name="_Toc27000"/>
      <w:bookmarkStart w:id="212" w:name="_Toc16387"/>
      <w:bookmarkStart w:id="213" w:name="_Toc14014"/>
      <w:bookmarkStart w:id="214" w:name="_Toc2562"/>
      <w:bookmarkStart w:id="215" w:name="_Toc18878"/>
      <w:bookmarkStart w:id="216" w:name="_Toc31202"/>
      <w:r>
        <w:rPr>
          <w:rFonts w:hint="eastAsia" w:ascii="Times New Roman" w:hAnsi="Times New Roman" w:eastAsia="黑体" w:cs="黑体"/>
          <w:snapToGrid w:val="0"/>
          <w:color w:val="auto"/>
          <w:kern w:val="0"/>
          <w:sz w:val="24"/>
          <w:lang w:bidi="ar"/>
        </w:rPr>
        <w:t>4.2 登录时常见问题</w:t>
      </w:r>
      <w:bookmarkEnd w:id="207"/>
      <w:bookmarkEnd w:id="208"/>
      <w:bookmarkEnd w:id="209"/>
      <w:bookmarkEnd w:id="210"/>
      <w:bookmarkEnd w:id="211"/>
      <w:bookmarkEnd w:id="212"/>
      <w:bookmarkEnd w:id="213"/>
      <w:bookmarkEnd w:id="214"/>
      <w:bookmarkEnd w:id="215"/>
      <w:bookmarkEnd w:id="216"/>
    </w:p>
    <w:p w14:paraId="2F7718D0">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4.2.1 登录密码忘记了怎么办？</w:t>
      </w:r>
    </w:p>
    <w:p w14:paraId="2868C1D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点击图1“忘记密码”，在弹出界面完成相关信息后点击“提交”，会提示“找回密码成功，邮件已发送邮箱”，找回的密码会发送至用户前期设置的个人邮箱。因邮箱错误无法接收到的，可联系本级或上级管理员协助完善邮箱和手机号等信息。</w:t>
      </w:r>
    </w:p>
    <w:p w14:paraId="29E99F69">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4.2.2 登录密码被锁定了怎么办？</w:t>
      </w:r>
    </w:p>
    <w:p w14:paraId="4488C04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该现象是因为密码连续三次输入错误，可等待10分钟后再使用正确密码进行登录。若仍无法登录，可联系本级或上级管理员解锁。</w:t>
      </w:r>
    </w:p>
    <w:p w14:paraId="2BE7BD26">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4.2.3 登录密码需要定期修改吗？</w:t>
      </w:r>
    </w:p>
    <w:p w14:paraId="2BDED15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根据信息安全要求，系统会定期提示修改密码。建议设定2～3套密码，定期修改。成功登录系统后，可点击右上角“修改密码”（图2左），在弹出页面（图2右）完成相关信息后点击“修改密码”。</w:t>
      </w:r>
    </w:p>
    <w:p w14:paraId="5F89F694">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2579370" cy="847725"/>
            <wp:effectExtent l="0" t="0" r="11430" b="952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7"/>
                    <a:stretch>
                      <a:fillRect/>
                    </a:stretch>
                  </pic:blipFill>
                  <pic:spPr>
                    <a:xfrm>
                      <a:off x="0" y="0"/>
                      <a:ext cx="2579370" cy="847725"/>
                    </a:xfrm>
                    <a:prstGeom prst="rect">
                      <a:avLst/>
                    </a:prstGeom>
                    <a:noFill/>
                    <a:ln>
                      <a:noFill/>
                    </a:ln>
                  </pic:spPr>
                </pic:pic>
              </a:graphicData>
            </a:graphic>
          </wp:inline>
        </w:drawing>
      </w:r>
      <w:r>
        <w:rPr>
          <w:rFonts w:ascii="Times New Roman" w:hAnsi="Times New Roman"/>
          <w:color w:val="auto"/>
        </w:rPr>
        <w:drawing>
          <wp:inline distT="0" distB="0" distL="114300" distR="114300">
            <wp:extent cx="2410460" cy="2230755"/>
            <wp:effectExtent l="0" t="0" r="88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410460" cy="2230755"/>
                    </a:xfrm>
                    <a:prstGeom prst="rect">
                      <a:avLst/>
                    </a:prstGeom>
                    <a:noFill/>
                    <a:ln>
                      <a:noFill/>
                    </a:ln>
                  </pic:spPr>
                </pic:pic>
              </a:graphicData>
            </a:graphic>
          </wp:inline>
        </w:drawing>
      </w:r>
    </w:p>
    <w:p w14:paraId="71110A67">
      <w:pPr>
        <w:topLinePunct/>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图2 修改密码</w:t>
      </w:r>
    </w:p>
    <w:p w14:paraId="2A5DC272">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4.2.4 同一用户可以注册多个账号吗？</w:t>
      </w:r>
    </w:p>
    <w:p w14:paraId="159EB44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根据信息安全要求，同一用户只能注册一个账号。</w:t>
      </w:r>
    </w:p>
    <w:p w14:paraId="48A51643">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4.2.5 同一个用户可以多人同时登录使用吗？</w:t>
      </w:r>
    </w:p>
    <w:p w14:paraId="344808A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根据信息安全要求，用户使用系统需实名制，不允许多人共用一个账号，如同时登录，后一个用户登录时，前一个登录用户将会被强制退出系统。</w:t>
      </w:r>
    </w:p>
    <w:p w14:paraId="5C3923F9">
      <w:pPr>
        <w:topLinePunct/>
        <w:adjustRightInd w:val="0"/>
        <w:snapToGrid w:val="0"/>
        <w:spacing w:line="360" w:lineRule="auto"/>
        <w:outlineLvl w:val="1"/>
        <w:rPr>
          <w:rFonts w:ascii="Times New Roman" w:hAnsi="Times New Roman" w:eastAsia="宋体" w:cstheme="minorEastAsia"/>
          <w:b/>
          <w:bCs/>
          <w:snapToGrid w:val="0"/>
          <w:color w:val="auto"/>
          <w:kern w:val="0"/>
          <w:sz w:val="24"/>
          <w:lang w:bidi="ar"/>
        </w:rPr>
      </w:pPr>
      <w:bookmarkStart w:id="217" w:name="_Toc18058"/>
      <w:bookmarkStart w:id="218" w:name="_Toc11781"/>
      <w:bookmarkStart w:id="219" w:name="_Toc11394"/>
      <w:bookmarkStart w:id="220" w:name="_Toc3615"/>
      <w:bookmarkStart w:id="221" w:name="_Toc12689"/>
      <w:bookmarkStart w:id="222" w:name="_Toc3451"/>
      <w:bookmarkStart w:id="223" w:name="_Toc21283"/>
      <w:bookmarkStart w:id="224" w:name="_Toc14018"/>
      <w:bookmarkStart w:id="225" w:name="_Toc23099"/>
      <w:bookmarkStart w:id="226" w:name="_Toc6973"/>
      <w:r>
        <w:rPr>
          <w:rFonts w:hint="eastAsia" w:ascii="Times New Roman" w:hAnsi="Times New Roman" w:eastAsia="黑体" w:cs="黑体"/>
          <w:snapToGrid w:val="0"/>
          <w:color w:val="auto"/>
          <w:kern w:val="0"/>
          <w:sz w:val="24"/>
          <w:lang w:bidi="ar"/>
        </w:rPr>
        <w:t>4.3 个例ADR报告填写要求</w:t>
      </w:r>
      <w:bookmarkEnd w:id="185"/>
      <w:bookmarkEnd w:id="217"/>
      <w:bookmarkEnd w:id="218"/>
      <w:bookmarkEnd w:id="219"/>
      <w:bookmarkEnd w:id="220"/>
      <w:bookmarkEnd w:id="221"/>
      <w:bookmarkEnd w:id="222"/>
      <w:bookmarkEnd w:id="223"/>
      <w:bookmarkEnd w:id="224"/>
      <w:bookmarkEnd w:id="225"/>
      <w:bookmarkEnd w:id="226"/>
    </w:p>
    <w:p w14:paraId="7C01975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ADR报告内容应真实、完整、准确。一份有效的报告应包括以下四</w:t>
      </w:r>
      <w:r>
        <w:rPr>
          <w:rFonts w:hint="eastAsia" w:ascii="Times New Roman" w:hAnsi="Times New Roman" w:eastAsia="宋体" w:cstheme="minorEastAsia"/>
          <w:snapToGrid w:val="0"/>
          <w:color w:val="auto"/>
          <w:kern w:val="0"/>
          <w:sz w:val="24"/>
          <w:lang w:val="en-US" w:eastAsia="zh-CN" w:bidi="ar"/>
        </w:rPr>
        <w:t>个</w:t>
      </w:r>
      <w:r>
        <w:rPr>
          <w:rFonts w:hint="eastAsia" w:ascii="Times New Roman" w:hAnsi="Times New Roman" w:eastAsia="宋体" w:cstheme="minorEastAsia"/>
          <w:snapToGrid w:val="0"/>
          <w:color w:val="auto"/>
          <w:kern w:val="0"/>
          <w:sz w:val="24"/>
          <w:lang w:bidi="ar"/>
        </w:rPr>
        <w:t>要素：可识别的患者、可识别的报告者、怀疑药品、不良反应。如果四要素不全，视为无效报告，应补充后再报。个例药品不良/事件</w:t>
      </w:r>
      <w:r>
        <w:rPr>
          <w:rFonts w:hint="eastAsia" w:ascii="Times New Roman" w:hAnsi="Times New Roman" w:eastAsia="宋体" w:cstheme="minorEastAsia"/>
          <w:snapToGrid w:val="0"/>
          <w:color w:val="auto"/>
          <w:kern w:val="0"/>
          <w:sz w:val="24"/>
          <w:lang w:val="en-US" w:eastAsia="zh-CN" w:bidi="ar"/>
        </w:rPr>
        <w:t>报告表中标</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val="en-US" w:eastAsia="zh-CN" w:bidi="ar"/>
        </w:rPr>
        <w:t>项</w:t>
      </w:r>
      <w:r>
        <w:rPr>
          <w:rFonts w:hint="eastAsia" w:ascii="Times New Roman" w:hAnsi="Times New Roman" w:eastAsia="宋体" w:cstheme="minorEastAsia"/>
          <w:snapToGrid w:val="0"/>
          <w:color w:val="auto"/>
          <w:kern w:val="0"/>
          <w:sz w:val="24"/>
          <w:lang w:bidi="ar"/>
        </w:rPr>
        <w:t>为必填项</w:t>
      </w:r>
      <w:r>
        <w:rPr>
          <w:rFonts w:hint="eastAsia" w:ascii="Times New Roman" w:hAnsi="Times New Roman" w:eastAsia="宋体" w:cstheme="minorEastAsia"/>
          <w:snapToGrid w:val="0"/>
          <w:color w:val="auto"/>
          <w:kern w:val="0"/>
          <w:sz w:val="24"/>
          <w:lang w:eastAsia="zh-CN" w:bidi="ar"/>
        </w:rPr>
        <w:t>，</w:t>
      </w:r>
      <w:r>
        <w:rPr>
          <w:rFonts w:ascii="宋体" w:hAnsi="宋体" w:eastAsia="宋体" w:cs="宋体"/>
          <w:sz w:val="24"/>
          <w:szCs w:val="24"/>
        </w:rPr>
        <w:t>其余非必填项目也应尽可能完整填报，减少缺项，提升报告质量，便于后续数据分析</w:t>
      </w:r>
      <w:r>
        <w:rPr>
          <w:rFonts w:hint="eastAsia" w:ascii="Times New Roman" w:hAnsi="Times New Roman" w:eastAsia="宋体" w:cstheme="minorEastAsia"/>
          <w:snapToGrid w:val="0"/>
          <w:color w:val="auto"/>
          <w:kern w:val="0"/>
          <w:sz w:val="24"/>
          <w:lang w:bidi="ar"/>
        </w:rPr>
        <w:t>。</w:t>
      </w:r>
    </w:p>
    <w:p w14:paraId="0F1A86E7">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27" w:name="_Toc6434"/>
      <w:r>
        <w:rPr>
          <w:rFonts w:hint="eastAsia" w:ascii="Times New Roman" w:hAnsi="Times New Roman" w:eastAsia="宋体" w:cstheme="minorEastAsia"/>
          <w:b/>
          <w:bCs/>
          <w:snapToGrid w:val="0"/>
          <w:color w:val="auto"/>
          <w:kern w:val="0"/>
          <w:sz w:val="24"/>
          <w:lang w:bidi="ar"/>
        </w:rPr>
        <w:t>4.3.1基本信息</w:t>
      </w:r>
      <w:bookmarkEnd w:id="227"/>
    </w:p>
    <w:p w14:paraId="6543096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首次报告（图3）是指报告人首次在国家药品不良反应监测系统中提交的有效报告。点击“首次报告”即可进入个例药品不良</w:t>
      </w:r>
      <w:r>
        <w:rPr>
          <w:rFonts w:hint="eastAsia" w:ascii="Times New Roman" w:hAnsi="Times New Roman" w:eastAsia="宋体" w:cstheme="minorEastAsia"/>
          <w:snapToGrid w:val="0"/>
          <w:color w:val="auto"/>
          <w:kern w:val="0"/>
          <w:sz w:val="24"/>
          <w:lang w:val="en-US" w:eastAsia="zh-CN" w:bidi="ar"/>
        </w:rPr>
        <w:t>反应</w:t>
      </w:r>
      <w:r>
        <w:rPr>
          <w:rFonts w:hint="eastAsia" w:ascii="Times New Roman" w:hAnsi="Times New Roman" w:eastAsia="宋体" w:cstheme="minorEastAsia"/>
          <w:snapToGrid w:val="0"/>
          <w:color w:val="auto"/>
          <w:kern w:val="0"/>
          <w:sz w:val="24"/>
          <w:lang w:bidi="ar"/>
        </w:rPr>
        <w:t>/事件填写界面。</w:t>
      </w:r>
    </w:p>
    <w:p w14:paraId="58D18F95">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4275" cy="1349375"/>
            <wp:effectExtent l="0" t="0" r="15875" b="317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9"/>
                    <a:stretch>
                      <a:fillRect/>
                    </a:stretch>
                  </pic:blipFill>
                  <pic:spPr>
                    <a:xfrm>
                      <a:off x="0" y="0"/>
                      <a:ext cx="4994275" cy="1349375"/>
                    </a:xfrm>
                    <a:prstGeom prst="rect">
                      <a:avLst/>
                    </a:prstGeom>
                    <a:noFill/>
                    <a:ln>
                      <a:noFill/>
                    </a:ln>
                  </pic:spPr>
                </pic:pic>
              </a:graphicData>
            </a:graphic>
          </wp:inline>
        </w:drawing>
      </w:r>
    </w:p>
    <w:p w14:paraId="3C9A9E4A">
      <w:pPr>
        <w:topLinePunct/>
        <w:adjustRightInd w:val="0"/>
        <w:snapToGrid w:val="0"/>
        <w:spacing w:line="360" w:lineRule="auto"/>
        <w:ind w:firstLine="360" w:firstLineChars="200"/>
        <w:jc w:val="center"/>
        <w:rPr>
          <w:rFonts w:ascii="Times New Roman" w:hAnsi="Times New Roman"/>
          <w:color w:val="auto"/>
        </w:rPr>
      </w:pPr>
      <w:r>
        <w:rPr>
          <w:rFonts w:hint="eastAsia" w:ascii="Times New Roman" w:hAnsi="Times New Roman"/>
          <w:color w:val="auto"/>
          <w:sz w:val="18"/>
          <w:szCs w:val="18"/>
        </w:rPr>
        <w:t>图3 首次报告</w:t>
      </w:r>
    </w:p>
    <w:p w14:paraId="3BDC315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跟踪报告（图4）是指首次报告以后，获悉其他与该报告相关的包含随访信息的报告。选择“已报告列表”，查询原始报告，点击“随访”，在原始报告中补充资料后点击“提交”，提交后报告编码及国家中心接收时间不变，不影响报告时限。</w:t>
      </w:r>
    </w:p>
    <w:p w14:paraId="277723A2">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1336040"/>
            <wp:effectExtent l="0" t="0" r="17145" b="165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0"/>
                    <a:stretch>
                      <a:fillRect/>
                    </a:stretch>
                  </pic:blipFill>
                  <pic:spPr>
                    <a:xfrm>
                      <a:off x="0" y="0"/>
                      <a:ext cx="4993005" cy="1336040"/>
                    </a:xfrm>
                    <a:prstGeom prst="rect">
                      <a:avLst/>
                    </a:prstGeom>
                    <a:noFill/>
                    <a:ln>
                      <a:noFill/>
                    </a:ln>
                  </pic:spPr>
                </pic:pic>
              </a:graphicData>
            </a:graphic>
          </wp:inline>
        </w:drawing>
      </w:r>
    </w:p>
    <w:p w14:paraId="72E2BAC0">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1358265"/>
            <wp:effectExtent l="0" t="0" r="17145" b="1333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1"/>
                    <a:stretch>
                      <a:fillRect/>
                    </a:stretch>
                  </pic:blipFill>
                  <pic:spPr>
                    <a:xfrm>
                      <a:off x="0" y="0"/>
                      <a:ext cx="4993005" cy="1358265"/>
                    </a:xfrm>
                    <a:prstGeom prst="rect">
                      <a:avLst/>
                    </a:prstGeom>
                    <a:noFill/>
                    <a:ln>
                      <a:noFill/>
                    </a:ln>
                  </pic:spPr>
                </pic:pic>
              </a:graphicData>
            </a:graphic>
          </wp:inline>
        </w:drawing>
      </w:r>
    </w:p>
    <w:p w14:paraId="61364FD4">
      <w:pPr>
        <w:topLinePunct/>
        <w:adjustRightInd w:val="0"/>
        <w:snapToGrid w:val="0"/>
        <w:spacing w:line="360" w:lineRule="auto"/>
        <w:ind w:firstLine="360" w:firstLineChars="200"/>
        <w:jc w:val="center"/>
        <w:rPr>
          <w:rFonts w:ascii="Times New Roman" w:hAnsi="Times New Roman"/>
          <w:color w:val="auto"/>
          <w:sz w:val="18"/>
          <w:szCs w:val="18"/>
        </w:rPr>
      </w:pPr>
      <w:r>
        <w:rPr>
          <w:rFonts w:hint="eastAsia" w:ascii="Times New Roman" w:hAnsi="Times New Roman"/>
          <w:color w:val="auto"/>
          <w:sz w:val="18"/>
          <w:szCs w:val="18"/>
        </w:rPr>
        <w:t>图</w:t>
      </w:r>
      <w:r>
        <w:rPr>
          <w:rFonts w:ascii="Times New Roman" w:hAnsi="Times New Roman" w:cs="Times New Roman"/>
          <w:color w:val="auto"/>
          <w:sz w:val="18"/>
          <w:szCs w:val="18"/>
        </w:rPr>
        <w:t>4</w:t>
      </w:r>
      <w:r>
        <w:rPr>
          <w:rFonts w:hint="eastAsia" w:ascii="Times New Roman" w:hAnsi="Times New Roman"/>
          <w:color w:val="auto"/>
          <w:sz w:val="18"/>
          <w:szCs w:val="18"/>
        </w:rPr>
        <w:t xml:space="preserve"> 跟踪报告</w:t>
      </w:r>
    </w:p>
    <w:p w14:paraId="43435522">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报告类型</w:t>
      </w:r>
      <w:r>
        <w:rPr>
          <w:rFonts w:hint="eastAsia" w:ascii="Times New Roman" w:hAnsi="Times New Roman" w:eastAsia="宋体" w:cstheme="minorEastAsia"/>
          <w:snapToGrid w:val="0"/>
          <w:color w:val="auto"/>
          <w:kern w:val="0"/>
          <w:sz w:val="24"/>
          <w:lang w:bidi="ar"/>
        </w:rPr>
        <w:t>分为新的、严重、一般三种。“严重”与“一般”只能二选一，“新的”与“严重”或者“一般”可以复选。选择“严重”后需要选择严重不良反应情形（可复选）。</w:t>
      </w:r>
    </w:p>
    <w:p w14:paraId="4C86F0FA">
      <w:pPr>
        <w:topLinePunct/>
        <w:adjustRightInd w:val="0"/>
        <w:snapToGrid w:val="0"/>
        <w:spacing w:line="360" w:lineRule="auto"/>
        <w:ind w:firstLine="480" w:firstLineChars="200"/>
        <w:outlineLvl w:val="9"/>
        <w:rPr>
          <w:rFonts w:ascii="Times New Roman" w:hAnsi="Times New Roman" w:eastAsia="黑体" w:cs="黑体"/>
          <w:snapToGrid w:val="0"/>
          <w:color w:val="auto"/>
          <w:kern w:val="0"/>
          <w:sz w:val="24"/>
          <w:lang w:bidi="ar"/>
        </w:rPr>
      </w:pPr>
      <w:bookmarkStart w:id="228" w:name="_Toc15700"/>
      <w:bookmarkStart w:id="229" w:name="_Toc28973"/>
      <w:bookmarkStart w:id="230" w:name="_Toc1309"/>
      <w:bookmarkStart w:id="231" w:name="_Toc11179"/>
      <w:bookmarkStart w:id="232" w:name="_Toc14762"/>
      <w:r>
        <w:rPr>
          <w:rFonts w:hint="eastAsia" w:ascii="Times New Roman" w:hAnsi="Times New Roman" w:eastAsia="黑体" w:cs="黑体"/>
          <w:snapToGrid w:val="0"/>
          <w:color w:val="auto"/>
          <w:kern w:val="0"/>
          <w:sz w:val="24"/>
          <w:lang w:bidi="ar"/>
        </w:rPr>
        <w:t>新的、严重的、死亡报告的判断标准</w:t>
      </w:r>
      <w:bookmarkEnd w:id="228"/>
      <w:bookmarkEnd w:id="229"/>
      <w:bookmarkEnd w:id="230"/>
      <w:bookmarkEnd w:id="231"/>
      <w:bookmarkEnd w:id="232"/>
    </w:p>
    <w:p w14:paraId="112A8AA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新的</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指药品说明书中</w:t>
      </w:r>
      <w:r>
        <w:rPr>
          <w:rFonts w:hint="eastAsia" w:ascii="Times New Roman" w:hAnsi="Times New Roman" w:eastAsia="宋体" w:cstheme="minorEastAsia"/>
          <w:snapToGrid w:val="0"/>
          <w:color w:val="auto"/>
          <w:kern w:val="0"/>
          <w:sz w:val="24"/>
          <w:lang w:bidi="ar"/>
        </w:rPr>
        <w:t>（包括“不良反应”“禁忌症”“注意事项”）</w:t>
      </w:r>
      <w:r>
        <w:rPr>
          <w:rFonts w:ascii="Times New Roman" w:hAnsi="Times New Roman" w:eastAsia="宋体" w:cstheme="minorEastAsia"/>
          <w:snapToGrid w:val="0"/>
          <w:color w:val="auto"/>
          <w:kern w:val="0"/>
          <w:sz w:val="24"/>
          <w:lang w:bidi="ar"/>
        </w:rPr>
        <w:t>未载明的不良反应。说明书中已有描述，但不良反应发生的性质、程度、后果或者频率与说明书描述不一致或者更严重的，</w:t>
      </w:r>
      <w:r>
        <w:rPr>
          <w:rFonts w:hint="eastAsia" w:ascii="Times New Roman" w:hAnsi="Times New Roman" w:eastAsia="宋体" w:cstheme="minorEastAsia"/>
          <w:snapToGrid w:val="0"/>
          <w:color w:val="auto"/>
          <w:kern w:val="0"/>
          <w:sz w:val="24"/>
          <w:lang w:bidi="ar"/>
        </w:rPr>
        <w:t>应</w:t>
      </w:r>
      <w:r>
        <w:rPr>
          <w:rFonts w:ascii="Times New Roman" w:hAnsi="Times New Roman" w:eastAsia="宋体" w:cstheme="minorEastAsia"/>
          <w:snapToGrid w:val="0"/>
          <w:color w:val="auto"/>
          <w:kern w:val="0"/>
          <w:sz w:val="24"/>
          <w:lang w:bidi="ar"/>
        </w:rPr>
        <w:t>按照新的</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处理。</w:t>
      </w:r>
    </w:p>
    <w:p w14:paraId="0E40AC4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严重</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指因使用药品引起以下损害情形之一的反应：</w:t>
      </w:r>
      <w:r>
        <w:rPr>
          <w:rFonts w:hint="eastAsia" w:ascii="Times New Roman" w:hAnsi="Times New Roman" w:eastAsia="宋体" w:cstheme="minorEastAsia"/>
          <w:snapToGrid w:val="0"/>
          <w:color w:val="auto"/>
          <w:kern w:val="0"/>
          <w:sz w:val="24"/>
          <w:lang w:bidi="ar"/>
        </w:rPr>
        <w:t>①</w:t>
      </w:r>
      <w:r>
        <w:rPr>
          <w:rFonts w:ascii="Times New Roman" w:hAnsi="Times New Roman" w:eastAsia="宋体" w:cstheme="minorEastAsia"/>
          <w:snapToGrid w:val="0"/>
          <w:color w:val="auto"/>
          <w:kern w:val="0"/>
          <w:sz w:val="24"/>
          <w:lang w:bidi="ar"/>
        </w:rPr>
        <w:t>导致死亡；</w:t>
      </w:r>
      <w:r>
        <w:rPr>
          <w:rFonts w:hint="eastAsia" w:ascii="Times New Roman" w:hAnsi="Times New Roman" w:eastAsia="宋体" w:cstheme="minorEastAsia"/>
          <w:snapToGrid w:val="0"/>
          <w:color w:val="auto"/>
          <w:kern w:val="0"/>
          <w:sz w:val="24"/>
          <w:lang w:bidi="ar"/>
        </w:rPr>
        <w:t>②</w:t>
      </w:r>
      <w:r>
        <w:rPr>
          <w:rFonts w:ascii="Times New Roman" w:hAnsi="Times New Roman" w:eastAsia="宋体" w:cstheme="minorEastAsia"/>
          <w:snapToGrid w:val="0"/>
          <w:color w:val="auto"/>
          <w:kern w:val="0"/>
          <w:sz w:val="24"/>
          <w:lang w:bidi="ar"/>
        </w:rPr>
        <w:t>危及生命</w:t>
      </w:r>
      <w:r>
        <w:rPr>
          <w:rFonts w:hint="eastAsia" w:ascii="Times New Roman" w:hAnsi="Times New Roman" w:eastAsia="宋体" w:cstheme="minorEastAsia"/>
          <w:snapToGrid w:val="0"/>
          <w:color w:val="auto"/>
          <w:kern w:val="0"/>
          <w:sz w:val="24"/>
          <w:lang w:bidi="ar"/>
        </w:rPr>
        <w:t>（指发生ADR时，患者存在死亡风险，并不是指ADR进一步恶化才可能出现死亡）</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③</w:t>
      </w:r>
      <w:r>
        <w:rPr>
          <w:rFonts w:ascii="Times New Roman" w:hAnsi="Times New Roman" w:eastAsia="宋体" w:cstheme="minorEastAsia"/>
          <w:snapToGrid w:val="0"/>
          <w:color w:val="auto"/>
          <w:kern w:val="0"/>
          <w:sz w:val="24"/>
          <w:lang w:bidi="ar"/>
        </w:rPr>
        <w:t>致癌、致畸、致出生缺陷；</w:t>
      </w:r>
      <w:r>
        <w:rPr>
          <w:rFonts w:hint="eastAsia" w:ascii="Times New Roman" w:hAnsi="Times New Roman" w:eastAsia="宋体" w:cstheme="minorEastAsia"/>
          <w:snapToGrid w:val="0"/>
          <w:color w:val="auto"/>
          <w:kern w:val="0"/>
          <w:sz w:val="24"/>
          <w:lang w:bidi="ar"/>
        </w:rPr>
        <w:t>④</w:t>
      </w:r>
      <w:r>
        <w:rPr>
          <w:rFonts w:ascii="Times New Roman" w:hAnsi="Times New Roman" w:eastAsia="宋体" w:cstheme="minorEastAsia"/>
          <w:snapToGrid w:val="0"/>
          <w:color w:val="auto"/>
          <w:kern w:val="0"/>
          <w:sz w:val="24"/>
          <w:lang w:bidi="ar"/>
        </w:rPr>
        <w:t>导致显著的或者永久的人体伤残或者器官功能的损伤；</w:t>
      </w:r>
      <w:r>
        <w:rPr>
          <w:rFonts w:hint="eastAsia" w:ascii="Times New Roman" w:hAnsi="Times New Roman" w:eastAsia="宋体" w:cstheme="minorEastAsia"/>
          <w:snapToGrid w:val="0"/>
          <w:color w:val="auto"/>
          <w:kern w:val="0"/>
          <w:sz w:val="24"/>
          <w:lang w:bidi="ar"/>
        </w:rPr>
        <w:t>⑤</w:t>
      </w:r>
      <w:r>
        <w:rPr>
          <w:rFonts w:ascii="Times New Roman" w:hAnsi="Times New Roman" w:eastAsia="宋体" w:cstheme="minorEastAsia"/>
          <w:snapToGrid w:val="0"/>
          <w:color w:val="auto"/>
          <w:kern w:val="0"/>
          <w:sz w:val="24"/>
          <w:lang w:bidi="ar"/>
        </w:rPr>
        <w:t>导致住院或者住院时间延长；</w:t>
      </w:r>
      <w:r>
        <w:rPr>
          <w:rFonts w:hint="eastAsia" w:ascii="Times New Roman" w:hAnsi="Times New Roman" w:eastAsia="宋体" w:cstheme="minorEastAsia"/>
          <w:snapToGrid w:val="0"/>
          <w:color w:val="auto"/>
          <w:kern w:val="0"/>
          <w:sz w:val="24"/>
          <w:lang w:bidi="ar"/>
        </w:rPr>
        <w:t>⑥</w:t>
      </w:r>
      <w:r>
        <w:rPr>
          <w:rFonts w:ascii="Times New Roman" w:hAnsi="Times New Roman" w:eastAsia="宋体" w:cstheme="minorEastAsia"/>
          <w:snapToGrid w:val="0"/>
          <w:color w:val="auto"/>
          <w:kern w:val="0"/>
          <w:sz w:val="24"/>
          <w:lang w:bidi="ar"/>
        </w:rPr>
        <w:t>导致其他重要医学事件，如不进行治疗可能出现上述所列情况的。</w:t>
      </w:r>
    </w:p>
    <w:p w14:paraId="7D2EB01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严重</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是指其</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严重性</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，而非</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严重程度</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。严重性是以患者/事件的结局或所采取的措施为标准，该标准通常与造成危及生命或功能受损的事件有关。严重程度常用于描述某一特定事件的程度（如轻度、中度或重度</w:t>
      </w:r>
      <w:r>
        <w:rPr>
          <w:rFonts w:hint="eastAsia" w:ascii="Times New Roman" w:hAnsi="Times New Roman" w:eastAsia="宋体" w:cstheme="minorEastAsia"/>
          <w:snapToGrid w:val="0"/>
          <w:color w:val="auto"/>
          <w:kern w:val="0"/>
          <w:sz w:val="24"/>
          <w:lang w:bidi="ar"/>
        </w:rPr>
        <w:t>肝功能损伤</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如</w:t>
      </w:r>
      <w:r>
        <w:rPr>
          <w:rFonts w:ascii="Times New Roman" w:hAnsi="Times New Roman" w:eastAsia="宋体" w:cstheme="minorEastAsia"/>
          <w:snapToGrid w:val="0"/>
          <w:color w:val="auto"/>
          <w:kern w:val="0"/>
          <w:sz w:val="24"/>
          <w:lang w:bidi="ar"/>
        </w:rPr>
        <w:t>某些ADR未达到严重分级的程度，</w:t>
      </w:r>
      <w:r>
        <w:rPr>
          <w:rFonts w:hint="eastAsia" w:ascii="Times New Roman" w:hAnsi="Times New Roman" w:eastAsia="宋体" w:cstheme="minorEastAsia"/>
          <w:snapToGrid w:val="0"/>
          <w:color w:val="auto"/>
          <w:kern w:val="0"/>
          <w:sz w:val="24"/>
          <w:lang w:bidi="ar"/>
        </w:rPr>
        <w:t>但</w:t>
      </w:r>
      <w:r>
        <w:rPr>
          <w:rFonts w:ascii="Times New Roman" w:hAnsi="Times New Roman" w:eastAsia="宋体" w:cstheme="minorEastAsia"/>
          <w:snapToGrid w:val="0"/>
          <w:color w:val="auto"/>
          <w:kern w:val="0"/>
          <w:sz w:val="24"/>
          <w:lang w:bidi="ar"/>
        </w:rPr>
        <w:t>患者因ADR接受</w:t>
      </w:r>
      <w:r>
        <w:rPr>
          <w:rFonts w:hint="eastAsia" w:ascii="Times New Roman" w:hAnsi="Times New Roman" w:eastAsia="宋体" w:cstheme="minorEastAsia"/>
          <w:snapToGrid w:val="0"/>
          <w:color w:val="auto"/>
          <w:kern w:val="0"/>
          <w:sz w:val="24"/>
          <w:lang w:bidi="ar"/>
        </w:rPr>
        <w:t>了</w:t>
      </w:r>
      <w:r>
        <w:rPr>
          <w:rFonts w:ascii="Times New Roman" w:hAnsi="Times New Roman" w:eastAsia="宋体" w:cstheme="minorEastAsia"/>
          <w:snapToGrid w:val="0"/>
          <w:color w:val="auto"/>
          <w:kern w:val="0"/>
          <w:sz w:val="24"/>
          <w:lang w:bidi="ar"/>
        </w:rPr>
        <w:t>干预措施</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避免继续恶化的情况可视为严重。如</w:t>
      </w:r>
      <w:r>
        <w:rPr>
          <w:rFonts w:hint="eastAsia" w:ascii="Times New Roman" w:hAnsi="Times New Roman" w:eastAsia="宋体" w:cstheme="minorEastAsia"/>
          <w:snapToGrid w:val="0"/>
          <w:color w:val="auto"/>
          <w:kern w:val="0"/>
          <w:sz w:val="24"/>
          <w:lang w:bidi="ar"/>
        </w:rPr>
        <w:t>当患者</w:t>
      </w:r>
      <w:r>
        <w:rPr>
          <w:rFonts w:ascii="Times New Roman" w:hAnsi="Times New Roman" w:eastAsia="宋体" w:cstheme="minorEastAsia"/>
          <w:snapToGrid w:val="0"/>
          <w:color w:val="auto"/>
          <w:kern w:val="0"/>
          <w:sz w:val="24"/>
          <w:lang w:bidi="ar"/>
        </w:rPr>
        <w:t>出现肝肾</w:t>
      </w:r>
      <w:r>
        <w:rPr>
          <w:rFonts w:hint="eastAsia" w:ascii="Times New Roman" w:hAnsi="Times New Roman" w:eastAsia="宋体" w:cstheme="minorEastAsia"/>
          <w:snapToGrid w:val="0"/>
          <w:color w:val="auto"/>
          <w:kern w:val="0"/>
          <w:sz w:val="24"/>
          <w:lang w:bidi="ar"/>
        </w:rPr>
        <w:t>功能</w:t>
      </w:r>
      <w:r>
        <w:rPr>
          <w:rFonts w:ascii="Times New Roman" w:hAnsi="Times New Roman" w:eastAsia="宋体" w:cstheme="minorEastAsia"/>
          <w:snapToGrid w:val="0"/>
          <w:color w:val="auto"/>
          <w:kern w:val="0"/>
          <w:sz w:val="24"/>
          <w:lang w:bidi="ar"/>
        </w:rPr>
        <w:t>损害</w:t>
      </w:r>
      <w:r>
        <w:rPr>
          <w:rFonts w:hint="eastAsia" w:ascii="Times New Roman" w:hAnsi="Times New Roman" w:eastAsia="宋体" w:cstheme="minorEastAsia"/>
          <w:snapToGrid w:val="0"/>
          <w:color w:val="auto"/>
          <w:kern w:val="0"/>
          <w:sz w:val="24"/>
          <w:lang w:bidi="ar"/>
        </w:rPr>
        <w:t>，检测</w:t>
      </w:r>
      <w:r>
        <w:rPr>
          <w:rFonts w:ascii="Times New Roman" w:hAnsi="Times New Roman" w:eastAsia="宋体" w:cstheme="minorEastAsia"/>
          <w:snapToGrid w:val="0"/>
          <w:color w:val="auto"/>
          <w:kern w:val="0"/>
          <w:sz w:val="24"/>
          <w:lang w:bidi="ar"/>
        </w:rPr>
        <w:t>值达到中度损害未达严重，</w:t>
      </w:r>
      <w:r>
        <w:rPr>
          <w:rFonts w:hint="eastAsia" w:ascii="Times New Roman" w:hAnsi="Times New Roman" w:eastAsia="宋体" w:cstheme="minorEastAsia"/>
          <w:snapToGrid w:val="0"/>
          <w:color w:val="auto"/>
          <w:kern w:val="0"/>
          <w:sz w:val="24"/>
          <w:lang w:bidi="ar"/>
        </w:rPr>
        <w:t>医师</w:t>
      </w:r>
      <w:r>
        <w:rPr>
          <w:rFonts w:ascii="Times New Roman" w:hAnsi="Times New Roman" w:eastAsia="宋体" w:cstheme="minorEastAsia"/>
          <w:snapToGrid w:val="0"/>
          <w:color w:val="auto"/>
          <w:kern w:val="0"/>
          <w:sz w:val="24"/>
          <w:lang w:bidi="ar"/>
        </w:rPr>
        <w:t>给予停药或减量，</w:t>
      </w:r>
      <w:r>
        <w:rPr>
          <w:rFonts w:hint="eastAsia" w:ascii="Times New Roman" w:hAnsi="Times New Roman" w:eastAsia="宋体" w:cstheme="minorEastAsia"/>
          <w:snapToGrid w:val="0"/>
          <w:color w:val="auto"/>
          <w:kern w:val="0"/>
          <w:sz w:val="24"/>
          <w:lang w:bidi="ar"/>
        </w:rPr>
        <w:t>并给予药物</w:t>
      </w:r>
      <w:r>
        <w:rPr>
          <w:rFonts w:ascii="Times New Roman" w:hAnsi="Times New Roman" w:eastAsia="宋体" w:cstheme="minorEastAsia"/>
          <w:snapToGrid w:val="0"/>
          <w:color w:val="auto"/>
          <w:kern w:val="0"/>
          <w:sz w:val="24"/>
          <w:lang w:bidi="ar"/>
        </w:rPr>
        <w:t>保肝</w:t>
      </w:r>
      <w:r>
        <w:rPr>
          <w:rFonts w:hint="eastAsia" w:ascii="Times New Roman" w:hAnsi="Times New Roman" w:eastAsia="宋体" w:cstheme="minorEastAsia"/>
          <w:snapToGrid w:val="0"/>
          <w:color w:val="auto"/>
          <w:kern w:val="0"/>
          <w:sz w:val="24"/>
          <w:lang w:bidi="ar"/>
        </w:rPr>
        <w:t>护</w:t>
      </w:r>
      <w:r>
        <w:rPr>
          <w:rFonts w:ascii="Times New Roman" w:hAnsi="Times New Roman" w:eastAsia="宋体" w:cstheme="minorEastAsia"/>
          <w:snapToGrid w:val="0"/>
          <w:color w:val="auto"/>
          <w:kern w:val="0"/>
          <w:sz w:val="24"/>
          <w:lang w:bidi="ar"/>
        </w:rPr>
        <w:t>肾</w:t>
      </w:r>
      <w:r>
        <w:rPr>
          <w:rFonts w:hint="eastAsia" w:ascii="Times New Roman" w:hAnsi="Times New Roman" w:eastAsia="宋体" w:cstheme="minorEastAsia"/>
          <w:snapToGrid w:val="0"/>
          <w:color w:val="auto"/>
          <w:kern w:val="0"/>
          <w:sz w:val="24"/>
          <w:lang w:bidi="ar"/>
        </w:rPr>
        <w:t>治疗，</w:t>
      </w:r>
      <w:r>
        <w:rPr>
          <w:rFonts w:ascii="Times New Roman" w:hAnsi="Times New Roman" w:eastAsia="宋体" w:cstheme="minorEastAsia"/>
          <w:snapToGrid w:val="0"/>
          <w:color w:val="auto"/>
          <w:kern w:val="0"/>
          <w:sz w:val="24"/>
          <w:lang w:bidi="ar"/>
        </w:rPr>
        <w:t xml:space="preserve">可视为严重。 </w:t>
      </w:r>
    </w:p>
    <w:p w14:paraId="74946D6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死亡病例为怀疑因</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导致死亡的病例，而非病例结局本身。如果死亡病例的不良反应仅表现为轻度皮疹或腹痛，并不能导致死亡，患者死亡原因可能是原患病（如</w:t>
      </w:r>
      <w:r>
        <w:rPr>
          <w:rFonts w:hint="eastAsia" w:ascii="Times New Roman" w:hAnsi="Times New Roman" w:eastAsia="宋体" w:cstheme="minorEastAsia"/>
          <w:snapToGrid w:val="0"/>
          <w:color w:val="auto"/>
          <w:kern w:val="0"/>
          <w:sz w:val="24"/>
          <w:lang w:bidi="ar"/>
        </w:rPr>
        <w:t>肿瘤</w:t>
      </w:r>
      <w:r>
        <w:rPr>
          <w:rFonts w:ascii="Times New Roman" w:hAnsi="Times New Roman" w:eastAsia="宋体" w:cstheme="minorEastAsia"/>
          <w:snapToGrid w:val="0"/>
          <w:color w:val="auto"/>
          <w:kern w:val="0"/>
          <w:sz w:val="24"/>
          <w:lang w:bidi="ar"/>
        </w:rPr>
        <w:t>）进展，则不能判定为严重</w:t>
      </w:r>
      <w:r>
        <w:rPr>
          <w:rFonts w:hint="eastAsia" w:ascii="Times New Roman" w:hAnsi="Times New Roman" w:eastAsia="宋体" w:cstheme="minorEastAsia"/>
          <w:snapToGrid w:val="0"/>
          <w:color w:val="auto"/>
          <w:kern w:val="0"/>
          <w:sz w:val="24"/>
          <w:lang w:bidi="ar"/>
        </w:rPr>
        <w:t>ADR</w:t>
      </w:r>
      <w:r>
        <w:rPr>
          <w:rFonts w:ascii="Times New Roman" w:hAnsi="Times New Roman" w:eastAsia="宋体" w:cstheme="minorEastAsia"/>
          <w:snapToGrid w:val="0"/>
          <w:color w:val="auto"/>
          <w:kern w:val="0"/>
          <w:sz w:val="24"/>
          <w:lang w:bidi="ar"/>
        </w:rPr>
        <w:t>，也不能归为死亡病例。</w:t>
      </w:r>
    </w:p>
    <w:p w14:paraId="2D8EF5F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报告单位类别分为医疗机构、经营企业、个人、其他四种。医疗机构指从事疾病诊断、治疗活动并使用药品的机构，如医院、卫生院、疗养院、门诊部、诊所、卫生所（室）以及急救站等。医疗机构填报时该项默认为医疗机构。</w:t>
      </w:r>
    </w:p>
    <w:p w14:paraId="656D3EC5">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3" w:name="_Toc542"/>
      <w:r>
        <w:rPr>
          <w:rFonts w:hint="eastAsia" w:ascii="Times New Roman" w:hAnsi="Times New Roman" w:eastAsia="宋体" w:cstheme="minorEastAsia"/>
          <w:b/>
          <w:bCs/>
          <w:snapToGrid w:val="0"/>
          <w:color w:val="auto"/>
          <w:kern w:val="0"/>
          <w:sz w:val="24"/>
          <w:lang w:bidi="ar"/>
        </w:rPr>
        <w:t>4.3.2患者信息</w:t>
      </w:r>
      <w:bookmarkEnd w:id="233"/>
    </w:p>
    <w:p w14:paraId="46342F1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患者信息（图5）</w:t>
      </w:r>
      <w:r>
        <w:rPr>
          <w:rFonts w:hint="eastAsia" w:ascii="Times New Roman" w:hAnsi="Times New Roman" w:eastAsia="宋体" w:cstheme="minorEastAsia"/>
          <w:snapToGrid w:val="0"/>
          <w:color w:val="auto"/>
          <w:kern w:val="0"/>
          <w:sz w:val="24"/>
          <w:lang w:eastAsia="zh-CN" w:bidi="ar"/>
        </w:rPr>
        <w:t>。</w:t>
      </w:r>
    </w:p>
    <w:p w14:paraId="37BD6932">
      <w:pPr>
        <w:topLinePunct/>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93005" cy="1752600"/>
            <wp:effectExtent l="0" t="0" r="17145"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2"/>
                    <a:stretch>
                      <a:fillRect/>
                    </a:stretch>
                  </pic:blipFill>
                  <pic:spPr>
                    <a:xfrm>
                      <a:off x="0" y="0"/>
                      <a:ext cx="4993005" cy="1752600"/>
                    </a:xfrm>
                    <a:prstGeom prst="rect">
                      <a:avLst/>
                    </a:prstGeom>
                    <a:noFill/>
                    <a:ln>
                      <a:noFill/>
                    </a:ln>
                  </pic:spPr>
                </pic:pic>
              </a:graphicData>
            </a:graphic>
          </wp:inline>
        </w:drawing>
      </w:r>
    </w:p>
    <w:p w14:paraId="5FAED1D4">
      <w:pPr>
        <w:topLinePunct/>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93005" cy="2265045"/>
            <wp:effectExtent l="0" t="0" r="17145" b="190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3"/>
                    <a:stretch>
                      <a:fillRect/>
                    </a:stretch>
                  </pic:blipFill>
                  <pic:spPr>
                    <a:xfrm>
                      <a:off x="0" y="0"/>
                      <a:ext cx="4993005" cy="2265045"/>
                    </a:xfrm>
                    <a:prstGeom prst="rect">
                      <a:avLst/>
                    </a:prstGeom>
                    <a:noFill/>
                    <a:ln>
                      <a:noFill/>
                    </a:ln>
                  </pic:spPr>
                </pic:pic>
              </a:graphicData>
            </a:graphic>
          </wp:inline>
        </w:drawing>
      </w:r>
    </w:p>
    <w:p w14:paraId="209E4CF8">
      <w:pPr>
        <w:topLinePunct/>
        <w:adjustRightInd w:val="0"/>
        <w:snapToGrid w:val="0"/>
        <w:spacing w:line="360" w:lineRule="auto"/>
        <w:ind w:firstLine="360" w:firstLineChars="200"/>
        <w:jc w:val="center"/>
        <w:rPr>
          <w:rFonts w:ascii="Times New Roman" w:hAnsi="Times New Roman"/>
          <w:color w:val="auto"/>
          <w:sz w:val="18"/>
          <w:szCs w:val="18"/>
        </w:rPr>
      </w:pPr>
      <w:r>
        <w:rPr>
          <w:rFonts w:hint="eastAsia" w:ascii="Times New Roman" w:hAnsi="Times New Roman"/>
          <w:color w:val="auto"/>
          <w:sz w:val="18"/>
          <w:szCs w:val="18"/>
        </w:rPr>
        <w:t>图5 患者信息</w:t>
      </w:r>
    </w:p>
    <w:p w14:paraId="5611D099">
      <w:pPr>
        <w:topLinePunct/>
        <w:adjustRightInd w:val="0"/>
        <w:snapToGrid w:val="0"/>
        <w:spacing w:line="360" w:lineRule="auto"/>
        <w:ind w:firstLine="482"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患者名称</w:t>
      </w:r>
      <w:r>
        <w:rPr>
          <w:rFonts w:hint="eastAsia" w:ascii="Times New Roman" w:hAnsi="Times New Roman" w:eastAsia="宋体" w:cstheme="minorEastAsia"/>
          <w:snapToGrid w:val="0"/>
          <w:color w:val="auto"/>
          <w:kern w:val="0"/>
          <w:sz w:val="24"/>
          <w:lang w:bidi="ar"/>
        </w:rPr>
        <w:t>应填写真实全名，涉及孕产妇和胎儿/乳儿可参考以下原则：①如果不良反应没有影响胎儿/乳儿，患者是母亲。②如果不良反应是胎儿死亡或自然流产，患者是母亲。③如果只有胎儿/乳儿出现不良反应（除了胎儿自然流产/胎儿死亡），患者是胎儿/乳儿，将母亲使用的可能引起胎儿/乳儿出现不良反应的药品列在可疑药品栏目中。④如果胎儿/乳儿和母亲都有不良反应发生，应填写两张报告表，并且注明两张报告表的相关性。</w:t>
      </w:r>
    </w:p>
    <w:p w14:paraId="7A135D47">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“出生年月”与“年龄”</w:t>
      </w:r>
      <w:r>
        <w:rPr>
          <w:rFonts w:hint="eastAsia" w:ascii="Times New Roman" w:hAnsi="Times New Roman" w:eastAsia="宋体" w:cstheme="minorEastAsia"/>
          <w:snapToGrid w:val="0"/>
          <w:color w:val="auto"/>
          <w:kern w:val="0"/>
          <w:sz w:val="24"/>
          <w:lang w:bidi="ar"/>
        </w:rPr>
        <w:t>二选一。出生年月可在系统中选择日期，也可直接输入（如2025-07-01）。年龄一般以“岁”为单位，对于</w:t>
      </w:r>
      <w:r>
        <w:rPr>
          <w:rFonts w:ascii="Times New Roman" w:hAnsi="Times New Roman" w:eastAsia="宋体" w:cstheme="minorEastAsia"/>
          <w:snapToGrid w:val="0"/>
          <w:color w:val="auto"/>
          <w:kern w:val="0"/>
          <w:sz w:val="24"/>
          <w:lang w:bidi="ar"/>
        </w:rPr>
        <w:t>1</w:t>
      </w:r>
      <w:r>
        <w:rPr>
          <w:rFonts w:hint="eastAsia" w:ascii="Times New Roman" w:hAnsi="Times New Roman" w:eastAsia="宋体" w:cstheme="minorEastAsia"/>
          <w:snapToGrid w:val="0"/>
          <w:color w:val="auto"/>
          <w:kern w:val="0"/>
          <w:sz w:val="24"/>
          <w:lang w:bidi="ar"/>
        </w:rPr>
        <w:t>岁以下婴儿，填写月龄；对于新生儿，填写日龄。</w:t>
      </w:r>
    </w:p>
    <w:p w14:paraId="1BAD7791">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体重</w:t>
      </w:r>
      <w:r>
        <w:rPr>
          <w:rFonts w:hint="eastAsia" w:ascii="Times New Roman" w:hAnsi="Times New Roman" w:eastAsia="宋体" w:cstheme="minorEastAsia"/>
          <w:snapToGrid w:val="0"/>
          <w:color w:val="auto"/>
          <w:kern w:val="0"/>
          <w:sz w:val="24"/>
          <w:lang w:bidi="ar"/>
        </w:rPr>
        <w:t>应以</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公斤（千克）</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为单位。患者的体重对合理用药的判断非常关键，应准确填写，无法获知时，可合理估算。</w:t>
      </w:r>
    </w:p>
    <w:p w14:paraId="09CA4B92">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联系方式</w:t>
      </w:r>
      <w:r>
        <w:rPr>
          <w:rFonts w:hint="eastAsia" w:ascii="Times New Roman" w:hAnsi="Times New Roman" w:eastAsia="宋体" w:cstheme="minorEastAsia"/>
          <w:snapToGrid w:val="0"/>
          <w:color w:val="auto"/>
          <w:kern w:val="0"/>
          <w:sz w:val="24"/>
          <w:lang w:bidi="ar"/>
        </w:rPr>
        <w:t>应填写患者的联系电话或通信地址。</w:t>
      </w:r>
    </w:p>
    <w:p w14:paraId="3E68ABA4">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病历号/门诊号</w:t>
      </w:r>
      <w:r>
        <w:rPr>
          <w:rFonts w:hint="eastAsia" w:ascii="Times New Roman" w:hAnsi="Times New Roman" w:eastAsia="宋体" w:cstheme="minorEastAsia"/>
          <w:snapToGrid w:val="0"/>
          <w:color w:val="auto"/>
          <w:kern w:val="0"/>
          <w:sz w:val="24"/>
          <w:lang w:bidi="ar"/>
        </w:rPr>
        <w:t>应根据处方/病历填写，对于基层医疗机构，如果处方中无此内容，可填写处方编号（印刷编号或手动编号或“无”）。</w:t>
      </w:r>
    </w:p>
    <w:p w14:paraId="38ED2AF8">
      <w:pPr>
        <w:topLinePunct/>
        <w:adjustRightInd w:val="0"/>
        <w:snapToGrid w:val="0"/>
        <w:spacing w:line="360" w:lineRule="auto"/>
        <w:ind w:firstLine="482" w:firstLineChars="200"/>
        <w:jc w:val="left"/>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原患疾病</w:t>
      </w:r>
      <w:r>
        <w:rPr>
          <w:rFonts w:hint="eastAsia" w:ascii="Times New Roman" w:hAnsi="Times New Roman" w:eastAsia="宋体" w:cstheme="minorEastAsia"/>
          <w:snapToGrid w:val="0"/>
          <w:color w:val="auto"/>
          <w:kern w:val="0"/>
          <w:sz w:val="24"/>
          <w:lang w:bidi="ar"/>
        </w:rPr>
        <w:t>即处方/病历中发生不良反应/事件之前最近一次的诊断，应填写疾病全称（可输入部分字段，然后选择合适的ICD名称，图6），不能出现俗语、缩写、英文符号（如多发性骨髓瘤，不能填MM）、错别字等。同时患有多种疾病时，应列入所有原患疾病（点“+”分别添加），但已痊愈且怀疑对此次不良反应发生没有影响的疾病可不列入。</w:t>
      </w:r>
    </w:p>
    <w:p w14:paraId="4DB8F251">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1502410"/>
            <wp:effectExtent l="0" t="0" r="17145" b="254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4"/>
                    <a:stretch>
                      <a:fillRect/>
                    </a:stretch>
                  </pic:blipFill>
                  <pic:spPr>
                    <a:xfrm>
                      <a:off x="0" y="0"/>
                      <a:ext cx="4993005" cy="1502410"/>
                    </a:xfrm>
                    <a:prstGeom prst="rect">
                      <a:avLst/>
                    </a:prstGeom>
                    <a:noFill/>
                    <a:ln>
                      <a:noFill/>
                    </a:ln>
                  </pic:spPr>
                </pic:pic>
              </a:graphicData>
            </a:graphic>
          </wp:inline>
        </w:drawing>
      </w:r>
    </w:p>
    <w:p w14:paraId="1E2F5CCD">
      <w:pPr>
        <w:topLinePunct/>
        <w:adjustRightInd w:val="0"/>
        <w:snapToGrid w:val="0"/>
        <w:spacing w:line="360" w:lineRule="auto"/>
        <w:ind w:firstLine="360" w:firstLineChars="200"/>
        <w:jc w:val="center"/>
        <w:rPr>
          <w:rFonts w:ascii="Times New Roman" w:hAnsi="Times New Roman"/>
          <w:color w:val="auto"/>
          <w:sz w:val="18"/>
          <w:szCs w:val="18"/>
        </w:rPr>
      </w:pPr>
      <w:r>
        <w:rPr>
          <w:rFonts w:hint="eastAsia" w:ascii="Times New Roman" w:hAnsi="Times New Roman"/>
          <w:color w:val="auto"/>
          <w:sz w:val="18"/>
          <w:szCs w:val="18"/>
        </w:rPr>
        <w:t>图6 原患疾病</w:t>
      </w:r>
    </w:p>
    <w:p w14:paraId="7806FACE">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相关重要信息</w:t>
      </w:r>
      <w:r>
        <w:rPr>
          <w:rFonts w:hint="eastAsia" w:ascii="Times New Roman" w:hAnsi="Times New Roman" w:eastAsia="宋体" w:cstheme="minorEastAsia"/>
          <w:snapToGrid w:val="0"/>
          <w:color w:val="auto"/>
          <w:kern w:val="0"/>
          <w:sz w:val="24"/>
          <w:lang w:bidi="ar"/>
        </w:rPr>
        <w:t>应根据真实情况选择（图5）。其中过敏史是指药物过敏史之外的其他过敏经历，如花粉过敏、牛奶过敏、花生过敏等。</w:t>
      </w:r>
    </w:p>
    <w:p w14:paraId="7EA6A2A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如果</w:t>
      </w:r>
      <w:r>
        <w:rPr>
          <w:rFonts w:hint="eastAsia" w:ascii="Times New Roman" w:hAnsi="Times New Roman" w:eastAsia="宋体" w:cstheme="minorEastAsia"/>
          <w:b/>
          <w:bCs/>
          <w:snapToGrid w:val="0"/>
          <w:color w:val="auto"/>
          <w:kern w:val="0"/>
          <w:sz w:val="24"/>
          <w:lang w:bidi="ar"/>
        </w:rPr>
        <w:t>既往药品不良反应/事件</w:t>
      </w:r>
      <w:r>
        <w:rPr>
          <w:rFonts w:hint="eastAsia" w:ascii="Times New Roman" w:hAnsi="Times New Roman" w:eastAsia="宋体" w:cstheme="minorEastAsia"/>
          <w:snapToGrid w:val="0"/>
          <w:color w:val="auto"/>
          <w:kern w:val="0"/>
          <w:sz w:val="24"/>
          <w:lang w:bidi="ar"/>
        </w:rPr>
        <w:t>选择为“有”，则需填写患者以往使用何种药物（药品通用名称）后出现何种不良反应（不良反应名称）。</w:t>
      </w:r>
    </w:p>
    <w:p w14:paraId="422E7099">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家族药品不良反应/事件</w:t>
      </w:r>
      <w:r>
        <w:rPr>
          <w:rFonts w:hint="eastAsia" w:ascii="Times New Roman" w:hAnsi="Times New Roman" w:eastAsia="宋体" w:cstheme="minorEastAsia"/>
          <w:snapToGrid w:val="0"/>
          <w:color w:val="auto"/>
          <w:kern w:val="0"/>
          <w:sz w:val="24"/>
          <w:lang w:bidi="ar"/>
        </w:rPr>
        <w:t>是指患者三代内亲属曾经服用某药后，发生过药品不良反应/事件。如果选择“有”，则需填写与患者关系（父母、子女、兄弟姐妹或其他），以及使用何种药物（药品通用名称）后出现何种不良反应（不良反应名称）。</w:t>
      </w:r>
    </w:p>
    <w:p w14:paraId="2E9BD8B5">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4" w:name="_Toc12291"/>
      <w:r>
        <w:rPr>
          <w:rFonts w:hint="eastAsia" w:ascii="Times New Roman" w:hAnsi="Times New Roman" w:eastAsia="宋体" w:cstheme="minorEastAsia"/>
          <w:b/>
          <w:bCs/>
          <w:snapToGrid w:val="0"/>
          <w:color w:val="auto"/>
          <w:kern w:val="0"/>
          <w:sz w:val="24"/>
          <w:lang w:bidi="ar"/>
        </w:rPr>
        <w:t>4.3.3用药信息</w:t>
      </w:r>
      <w:bookmarkEnd w:id="234"/>
    </w:p>
    <w:p w14:paraId="3E4A008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用药信息包括怀疑用药和合并用药信息（图7），点击“添加”完成图8信息，点击“确定”。</w:t>
      </w:r>
    </w:p>
    <w:p w14:paraId="701C2372">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怀疑用药</w:t>
      </w:r>
      <w:r>
        <w:rPr>
          <w:rFonts w:hint="eastAsia" w:ascii="Times New Roman" w:hAnsi="Times New Roman" w:eastAsia="宋体" w:cstheme="minorEastAsia"/>
          <w:snapToGrid w:val="0"/>
          <w:color w:val="auto"/>
          <w:kern w:val="0"/>
          <w:sz w:val="24"/>
          <w:lang w:bidi="ar"/>
        </w:rPr>
        <w:t>是指报告人认为可能与不良反应/事件发生有关的药品。</w:t>
      </w:r>
    </w:p>
    <w:p w14:paraId="7C5E9772">
      <w:pPr>
        <w:topLinePunct/>
        <w:adjustRightInd w:val="0"/>
        <w:snapToGrid w:val="0"/>
        <w:spacing w:line="360" w:lineRule="auto"/>
        <w:ind w:firstLine="482" w:firstLineChars="200"/>
        <w:rPr>
          <w:rFonts w:ascii="Times New Roman" w:hAnsi="Times New Roman"/>
          <w:color w:val="auto"/>
        </w:rPr>
      </w:pPr>
      <w:r>
        <w:rPr>
          <w:rFonts w:hint="eastAsia" w:ascii="Times New Roman" w:hAnsi="Times New Roman" w:eastAsia="宋体" w:cstheme="minorEastAsia"/>
          <w:b/>
          <w:bCs/>
          <w:snapToGrid w:val="0"/>
          <w:color w:val="auto"/>
          <w:kern w:val="0"/>
          <w:sz w:val="24"/>
          <w:lang w:bidi="ar"/>
        </w:rPr>
        <w:t>合并用药</w:t>
      </w:r>
      <w:r>
        <w:rPr>
          <w:rFonts w:hint="eastAsia" w:ascii="Times New Roman" w:hAnsi="Times New Roman" w:eastAsia="宋体" w:cstheme="minorEastAsia"/>
          <w:snapToGrid w:val="0"/>
          <w:color w:val="auto"/>
          <w:kern w:val="0"/>
          <w:sz w:val="24"/>
          <w:lang w:bidi="ar"/>
        </w:rPr>
        <w:t>是指不良反应/事件发生时，患者同时使用的其他药品，报告人认为这些药品与不良反应/事件的发生无直接相关性。对于可能与怀疑用药存在相互作用</w:t>
      </w:r>
      <w:r>
        <w:rPr>
          <w:rFonts w:hint="eastAsia" w:ascii="Times New Roman" w:hAnsi="Times New Roman" w:eastAsia="宋体" w:cstheme="minorEastAsia"/>
          <w:snapToGrid w:val="0"/>
          <w:color w:val="auto"/>
          <w:kern w:val="0"/>
          <w:sz w:val="24"/>
          <w:lang w:eastAsia="zh-CN" w:bidi="ar"/>
        </w:rPr>
        <w:t>、</w:t>
      </w:r>
      <w:r>
        <w:rPr>
          <w:rFonts w:hint="eastAsia" w:ascii="Times New Roman" w:hAnsi="Times New Roman" w:eastAsia="宋体" w:cstheme="minorEastAsia"/>
          <w:snapToGrid w:val="0"/>
          <w:color w:val="auto"/>
          <w:kern w:val="0"/>
          <w:sz w:val="24"/>
          <w:lang w:bidi="ar"/>
        </w:rPr>
        <w:t>配伍问题的合并用药应尽可能填写。用于治疗本次不良反应的药物不属于合并用药，可在“不良反应/事件处理情况”栏中填写。</w:t>
      </w:r>
    </w:p>
    <w:p w14:paraId="2B17C756">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2520950"/>
            <wp:effectExtent l="0" t="0" r="17145" b="1270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5"/>
                    <a:stretch>
                      <a:fillRect/>
                    </a:stretch>
                  </pic:blipFill>
                  <pic:spPr>
                    <a:xfrm>
                      <a:off x="0" y="0"/>
                      <a:ext cx="4993005" cy="2520950"/>
                    </a:xfrm>
                    <a:prstGeom prst="rect">
                      <a:avLst/>
                    </a:prstGeom>
                    <a:noFill/>
                    <a:ln>
                      <a:noFill/>
                    </a:ln>
                  </pic:spPr>
                </pic:pic>
              </a:graphicData>
            </a:graphic>
          </wp:inline>
        </w:drawing>
      </w:r>
    </w:p>
    <w:p w14:paraId="61343056">
      <w:pPr>
        <w:topLinePunct/>
        <w:adjustRightInd w:val="0"/>
        <w:snapToGrid w:val="0"/>
        <w:spacing w:line="360" w:lineRule="auto"/>
        <w:ind w:firstLine="360" w:firstLineChars="200"/>
        <w:jc w:val="center"/>
        <w:rPr>
          <w:rFonts w:ascii="Times New Roman" w:hAnsi="Times New Roman"/>
          <w:color w:val="auto"/>
          <w:sz w:val="18"/>
          <w:szCs w:val="18"/>
        </w:rPr>
      </w:pPr>
      <w:r>
        <w:rPr>
          <w:rFonts w:hint="eastAsia" w:ascii="Times New Roman" w:hAnsi="Times New Roman"/>
          <w:color w:val="auto"/>
          <w:sz w:val="18"/>
          <w:szCs w:val="18"/>
        </w:rPr>
        <w:t>图7 用药信息</w:t>
      </w:r>
    </w:p>
    <w:p w14:paraId="40069F5B">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3804285"/>
            <wp:effectExtent l="0" t="0" r="17145" b="571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6"/>
                    <a:stretch>
                      <a:fillRect/>
                    </a:stretch>
                  </pic:blipFill>
                  <pic:spPr>
                    <a:xfrm>
                      <a:off x="0" y="0"/>
                      <a:ext cx="4993005" cy="3804285"/>
                    </a:xfrm>
                    <a:prstGeom prst="rect">
                      <a:avLst/>
                    </a:prstGeom>
                    <a:noFill/>
                    <a:ln>
                      <a:noFill/>
                    </a:ln>
                  </pic:spPr>
                </pic:pic>
              </a:graphicData>
            </a:graphic>
          </wp:inline>
        </w:drawing>
      </w:r>
    </w:p>
    <w:p w14:paraId="7949A608">
      <w:pPr>
        <w:topLinePunct/>
        <w:adjustRightInd w:val="0"/>
        <w:snapToGrid w:val="0"/>
        <w:spacing w:line="360" w:lineRule="auto"/>
        <w:jc w:val="center"/>
        <w:rPr>
          <w:rFonts w:ascii="Times New Roman" w:hAnsi="Times New Roman"/>
          <w:color w:val="auto"/>
        </w:rPr>
      </w:pPr>
      <w:r>
        <w:rPr>
          <w:rFonts w:hint="eastAsia" w:ascii="Times New Roman" w:hAnsi="Times New Roman"/>
          <w:color w:val="auto"/>
        </w:rPr>
        <w:t>图8 用药信息-添加怀疑用药</w:t>
      </w:r>
    </w:p>
    <w:p w14:paraId="3253A78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在线填写</w:t>
      </w:r>
      <w:r>
        <w:rPr>
          <w:rFonts w:hint="eastAsia" w:ascii="Times New Roman" w:hAnsi="Times New Roman" w:eastAsia="宋体" w:cstheme="minorEastAsia"/>
          <w:b/>
          <w:bCs/>
          <w:snapToGrid w:val="0"/>
          <w:color w:val="auto"/>
          <w:kern w:val="0"/>
          <w:sz w:val="24"/>
          <w:lang w:bidi="ar"/>
        </w:rPr>
        <w:t>批准文号</w:t>
      </w:r>
      <w:r>
        <w:rPr>
          <w:rFonts w:hint="eastAsia" w:ascii="Times New Roman" w:hAnsi="Times New Roman" w:eastAsia="宋体" w:cstheme="minorEastAsia"/>
          <w:snapToGrid w:val="0"/>
          <w:color w:val="auto"/>
          <w:kern w:val="0"/>
          <w:sz w:val="24"/>
          <w:lang w:bidi="ar"/>
        </w:rPr>
        <w:t>（国药准字+H/Z/S+数字）或进口药品注册证号（H/Z/S+数字）后，通用名称和生产厂家会自动关联，有时关联不完整或者与实际不符的，应仔细核对，确保与实际使用药品相符。</w:t>
      </w:r>
    </w:p>
    <w:p w14:paraId="0280598B">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通用名称</w:t>
      </w:r>
      <w:r>
        <w:rPr>
          <w:rFonts w:hint="eastAsia" w:ascii="Times New Roman" w:hAnsi="Times New Roman" w:eastAsia="宋体" w:cstheme="minorEastAsia"/>
          <w:snapToGrid w:val="0"/>
          <w:color w:val="auto"/>
          <w:kern w:val="0"/>
          <w:sz w:val="24"/>
          <w:lang w:bidi="ar"/>
        </w:rPr>
        <w:t>应与说明书通用名称一致，勿用简称，勿遗漏酸根、碱基、剂型，勿填写成商品名，也不能出现错别字。如果是院外发生的不良反应，无法获取准确的药品通用名称，可填写活性成分。</w:t>
      </w:r>
    </w:p>
    <w:p w14:paraId="710316BC">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生产厂家</w:t>
      </w:r>
      <w:r>
        <w:rPr>
          <w:rFonts w:hint="eastAsia" w:ascii="Times New Roman" w:hAnsi="Times New Roman" w:eastAsia="宋体" w:cstheme="minorEastAsia"/>
          <w:snapToGrid w:val="0"/>
          <w:color w:val="auto"/>
          <w:kern w:val="0"/>
          <w:sz w:val="24"/>
          <w:lang w:bidi="ar"/>
        </w:rPr>
        <w:t>应填写药品生产企业的全称，不可用简称。输入部分字段后，可选择与外包装或说明书一致的生产厂家，有委托生产的，以“药品上市许可持有人”为准。</w:t>
      </w:r>
    </w:p>
    <w:p w14:paraId="31C66487">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生产批号</w:t>
      </w:r>
      <w:r>
        <w:rPr>
          <w:rFonts w:hint="eastAsia" w:ascii="Times New Roman" w:hAnsi="Times New Roman" w:eastAsia="宋体" w:cstheme="minorEastAsia"/>
          <w:snapToGrid w:val="0"/>
          <w:color w:val="auto"/>
          <w:kern w:val="0"/>
          <w:sz w:val="24"/>
          <w:lang w:bidi="ar"/>
        </w:rPr>
        <w:t>应填写药品包装上的产品批号（如产品批号：2406076H），注意不要与生产日期（如生产日期：2024.06.17.）、有效期（如有效期至：2026.05）、批准文号相混淆。</w:t>
      </w:r>
    </w:p>
    <w:p w14:paraId="220B66FD">
      <w:pPr>
        <w:topLinePunct/>
        <w:autoSpaceDE w:val="0"/>
        <w:autoSpaceDN w:val="0"/>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剂型</w:t>
      </w:r>
      <w:r>
        <w:rPr>
          <w:rFonts w:hint="eastAsia" w:ascii="Times New Roman" w:hAnsi="Times New Roman" w:eastAsia="宋体" w:cstheme="minorEastAsia"/>
          <w:snapToGrid w:val="0"/>
          <w:color w:val="auto"/>
          <w:kern w:val="0"/>
          <w:sz w:val="24"/>
          <w:lang w:bidi="ar"/>
        </w:rPr>
        <w:t>可根据药品名称判断，与说明书相一致，勿简写。如：“注射用奥美拉唑钠”应选择“粉针剂”或“注射剂”，不应选择“注射液”；“阿司匹林肠溶片”应选择“肠溶片”，不应选择“片剂”；“盐酸左西替利嗪口服溶液”应选择“口服溶液”，不应选择“溶液”。</w:t>
      </w:r>
    </w:p>
    <w:p w14:paraId="105F2734">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用法用量</w:t>
      </w:r>
      <w:r>
        <w:rPr>
          <w:rFonts w:hint="eastAsia" w:ascii="Times New Roman" w:hAnsi="Times New Roman" w:eastAsia="宋体" w:cstheme="minorEastAsia"/>
          <w:snapToGrid w:val="0"/>
          <w:color w:val="auto"/>
          <w:kern w:val="0"/>
          <w:sz w:val="24"/>
          <w:lang w:bidi="ar"/>
        </w:rPr>
        <w:t>需填写每次用量、给药频次。如：“阿莫西林胶囊，每次</w:t>
      </w:r>
      <w:r>
        <w:rPr>
          <w:rFonts w:hint="eastAsia" w:ascii="Times New Roman" w:hAnsi="Times New Roman" w:eastAsia="宋体" w:cstheme="minorEastAsia"/>
          <w:snapToGrid w:val="0"/>
          <w:color w:val="auto"/>
          <w:kern w:val="0"/>
          <w:sz w:val="24"/>
          <w:u w:val="single"/>
          <w:lang w:bidi="ar"/>
        </w:rPr>
        <w:t>0.5克</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u w:val="single"/>
          <w:lang w:bidi="ar"/>
        </w:rPr>
        <w:t>1</w:t>
      </w:r>
      <w:r>
        <w:rPr>
          <w:rFonts w:hint="eastAsia" w:ascii="Times New Roman" w:hAnsi="Times New Roman" w:eastAsia="宋体" w:cstheme="minorEastAsia"/>
          <w:snapToGrid w:val="0"/>
          <w:color w:val="auto"/>
          <w:kern w:val="0"/>
          <w:sz w:val="24"/>
          <w:lang w:bidi="ar"/>
        </w:rPr>
        <w:t>日</w:t>
      </w:r>
      <w:r>
        <w:rPr>
          <w:rFonts w:hint="eastAsia" w:ascii="Times New Roman" w:hAnsi="Times New Roman" w:eastAsia="宋体" w:cstheme="minorEastAsia"/>
          <w:snapToGrid w:val="0"/>
          <w:color w:val="auto"/>
          <w:kern w:val="0"/>
          <w:sz w:val="24"/>
          <w:u w:val="single"/>
          <w:lang w:bidi="ar"/>
        </w:rPr>
        <w:t>3</w:t>
      </w:r>
      <w:r>
        <w:rPr>
          <w:rFonts w:hint="eastAsia" w:ascii="Times New Roman" w:hAnsi="Times New Roman" w:eastAsia="宋体" w:cstheme="minorEastAsia"/>
          <w:snapToGrid w:val="0"/>
          <w:color w:val="auto"/>
          <w:kern w:val="0"/>
          <w:sz w:val="24"/>
          <w:lang w:bidi="ar"/>
        </w:rPr>
        <w:t>次”。注意药品剂型与用法是否相对应，药品用量是否符合常规。</w:t>
      </w:r>
    </w:p>
    <w:p w14:paraId="60A2CCD3">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用药起止日期</w:t>
      </w:r>
      <w:r>
        <w:rPr>
          <w:rFonts w:hint="eastAsia" w:ascii="Times New Roman" w:hAnsi="Times New Roman" w:eastAsia="宋体" w:cstheme="minorEastAsia"/>
          <w:snapToGrid w:val="0"/>
          <w:color w:val="auto"/>
          <w:kern w:val="0"/>
          <w:sz w:val="24"/>
          <w:lang w:bidi="ar"/>
        </w:rPr>
        <w:t>可根据处方、住院医嘱、病程记录等，如实填写。如果用药过程中改变剂量，应另行填写该剂量的用药起止时间。</w:t>
      </w:r>
    </w:p>
    <w:p w14:paraId="29054E31">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给药途径</w:t>
      </w:r>
      <w:r>
        <w:rPr>
          <w:rFonts w:hint="eastAsia" w:ascii="Times New Roman" w:hAnsi="Times New Roman" w:eastAsia="宋体" w:cstheme="minorEastAsia"/>
          <w:snapToGrid w:val="0"/>
          <w:color w:val="auto"/>
          <w:kern w:val="0"/>
          <w:sz w:val="24"/>
          <w:lang w:bidi="ar"/>
        </w:rPr>
        <w:t>可根据处方、住院医嘱等，如实选择。如：“注射用盐酸万古霉素”给药途径可选择“静脉滴注”。对于滴速有要求的，可在“不良反应/事件过程描述及处理情况”中说明。</w:t>
      </w:r>
    </w:p>
    <w:p w14:paraId="05AB9CED">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用药原因</w:t>
      </w:r>
      <w:r>
        <w:rPr>
          <w:rFonts w:hint="eastAsia" w:ascii="Times New Roman" w:hAnsi="Times New Roman" w:eastAsia="宋体" w:cstheme="minorEastAsia"/>
          <w:snapToGrid w:val="0"/>
          <w:color w:val="auto"/>
          <w:kern w:val="0"/>
          <w:sz w:val="24"/>
          <w:lang w:bidi="ar"/>
        </w:rPr>
        <w:t>应填写使用该药品的具体原因。如：患者既往有糖尿病史，此次因泌尿道感染使用注射用哌拉西林钠他唑巴坦钠引起不良反应，用药原因应填“泌尿道感染”。如：患者因支气管哮喘使用布地奈德福莫特罗吸入粉雾剂导致不良反应，用药原因应填写“支气管哮喘”，不应填写“平喘”。有些作为溶媒、补液、麻醉使用的药品，用药原因可以直接选择“溶媒”“补液”“麻醉用药”。</w:t>
      </w:r>
    </w:p>
    <w:p w14:paraId="1BDE64AA">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5" w:name="_Toc22132"/>
      <w:r>
        <w:rPr>
          <w:rFonts w:hint="eastAsia" w:ascii="Times New Roman" w:hAnsi="Times New Roman" w:eastAsia="宋体" w:cstheme="minorEastAsia"/>
          <w:b/>
          <w:bCs/>
          <w:snapToGrid w:val="0"/>
          <w:color w:val="auto"/>
          <w:kern w:val="0"/>
          <w:sz w:val="24"/>
          <w:lang w:bidi="ar"/>
        </w:rPr>
        <w:t>4.3.4不良反应信息</w:t>
      </w:r>
      <w:bookmarkEnd w:id="235"/>
    </w:p>
    <w:p w14:paraId="1D1D6C7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不良反应信息包括不良反应/事件名称、严重程度、发生时间、过程描述及处理情况、结果（图9）。</w:t>
      </w:r>
    </w:p>
    <w:p w14:paraId="79CB8D93">
      <w:pPr>
        <w:topLinePunct/>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608830" cy="2117725"/>
            <wp:effectExtent l="0" t="0" r="1270" b="1587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17"/>
                    <a:stretch>
                      <a:fillRect/>
                    </a:stretch>
                  </pic:blipFill>
                  <pic:spPr>
                    <a:xfrm>
                      <a:off x="0" y="0"/>
                      <a:ext cx="4608830" cy="2117725"/>
                    </a:xfrm>
                    <a:prstGeom prst="rect">
                      <a:avLst/>
                    </a:prstGeom>
                    <a:noFill/>
                    <a:ln>
                      <a:noFill/>
                    </a:ln>
                  </pic:spPr>
                </pic:pic>
              </a:graphicData>
            </a:graphic>
          </wp:inline>
        </w:drawing>
      </w:r>
    </w:p>
    <w:p w14:paraId="38587ABF">
      <w:pPr>
        <w:topLinePunct/>
        <w:adjustRightInd w:val="0"/>
        <w:snapToGrid w:val="0"/>
        <w:spacing w:line="360" w:lineRule="auto"/>
        <w:jc w:val="center"/>
        <w:outlineLvl w:val="2"/>
        <w:rPr>
          <w:rFonts w:ascii="Times New Roman" w:hAnsi="Times New Roman"/>
          <w:color w:val="auto"/>
          <w:sz w:val="18"/>
          <w:szCs w:val="18"/>
        </w:rPr>
      </w:pPr>
      <w:r>
        <w:rPr>
          <w:rFonts w:hint="eastAsia" w:ascii="Times New Roman" w:hAnsi="Times New Roman"/>
          <w:color w:val="auto"/>
          <w:sz w:val="18"/>
          <w:szCs w:val="18"/>
        </w:rPr>
        <w:t>图9 不良反应信息</w:t>
      </w:r>
    </w:p>
    <w:p w14:paraId="0EB3DEB2">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不良反应/事件名称</w:t>
      </w:r>
      <w:r>
        <w:rPr>
          <w:rFonts w:hint="eastAsia" w:ascii="Times New Roman" w:hAnsi="Times New Roman" w:eastAsia="宋体" w:cstheme="minorEastAsia"/>
          <w:snapToGrid w:val="0"/>
          <w:color w:val="auto"/>
          <w:kern w:val="0"/>
          <w:sz w:val="24"/>
          <w:lang w:bidi="ar"/>
        </w:rPr>
        <w:t>应与过程描述情况一致，填写应完整、规范和确切。已明确为药源性疾病的填写疾病名称，不明确的填写</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中最主要、最明显的症状（如主诉或典型症状）。在线填写不良反应/事件名称时，可选择标准的名称，主要参考《WHO药品不良反应术语集》（WHO Adverse Reaction Terminology，WHO-ART）</w:t>
      </w:r>
      <w:r>
        <w:rPr>
          <w:rFonts w:hint="eastAsia" w:ascii="Times New Roman" w:hAnsi="Times New Roman" w:eastAsia="宋体" w:cstheme="minorEastAsia"/>
          <w:snapToGrid w:val="0"/>
          <w:color w:val="auto"/>
          <w:kern w:val="0"/>
          <w:sz w:val="24"/>
          <w:lang w:val="en-US" w:eastAsia="zh-CN" w:bidi="ar"/>
        </w:rPr>
        <w:t>和</w:t>
      </w:r>
      <w:r>
        <w:rPr>
          <w:rFonts w:hint="eastAsia" w:ascii="Times New Roman" w:hAnsi="Times New Roman" w:eastAsia="宋体" w:cstheme="minorEastAsia"/>
          <w:b w:val="0"/>
          <w:bCs w:val="0"/>
          <w:snapToGrid w:val="0"/>
          <w:color w:val="auto"/>
          <w:spacing w:val="0"/>
          <w:kern w:val="0"/>
          <w:sz w:val="24"/>
          <w:lang w:val="en-US" w:eastAsia="zh-CN" w:bidi="ar"/>
        </w:rPr>
        <w:t>《MedDRA术语集》</w:t>
      </w:r>
      <w:r>
        <w:rPr>
          <w:rFonts w:hint="eastAsia" w:ascii="Times New Roman" w:hAnsi="Times New Roman" w:eastAsia="宋体" w:cstheme="minorEastAsia"/>
          <w:snapToGrid w:val="0"/>
          <w:color w:val="auto"/>
          <w:kern w:val="0"/>
          <w:sz w:val="24"/>
          <w:lang w:bidi="ar"/>
        </w:rPr>
        <w:t>，若无可选择名称可手动输入，输入名称应符合临床医学术语规范。对于同一患者在同一治疗过程中使用同一怀疑药品相继出现的多个不良反应，不应填多份报告，应在同一报告中添加多个不良反应/事件名称。</w:t>
      </w:r>
    </w:p>
    <w:p w14:paraId="5EFD17A3">
      <w:pPr>
        <w:topLinePunct/>
        <w:adjustRightInd w:val="0"/>
        <w:snapToGrid w:val="0"/>
        <w:spacing w:line="360" w:lineRule="auto"/>
        <w:ind w:firstLine="482"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不良反应/事件名称填写常见问题：</w:t>
      </w:r>
    </w:p>
    <w:p w14:paraId="7A28592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填写不完整：过程描述中出现某些</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但与之对应的不良反应/事件名称未填写。如过程描述中患者用药后出现恶心、呕吐、腹泻，但不良反应名称只填了腹泻；有些仅填写用药情况，未填写用药后出现的有害反应。如不良反应名称填用药错误、药物用量错误、说明书外用药等，但未填写因这些原因导致的有害反应。如患者误将甲氨蝶呤片每周10mg，用成每天10mg，最终导致严重中性粒细胞减少。此时不良反应/事件名称除填写“药物用量错误”外，还应填写“中性粒细胞减少症”。若某些用药错误未导致有害后果，仅采取了观察措施，此时不良反应/事件名称仅能填写“用药错误”，这便属于“其他观察”的范畴了。</w:t>
      </w:r>
    </w:p>
    <w:p w14:paraId="1B45150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填写不规范：不良反应/事件名称填写“药物过敏反应”、“药品不良反应”。</w:t>
      </w:r>
    </w:p>
    <w:p w14:paraId="59D3A4E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填写不确切：过程描述中写心跳加剧，名称填心律失常，或将呼吸急促填成呼吸困难，将胸部不适填成胸痛等。</w:t>
      </w:r>
    </w:p>
    <w:p w14:paraId="16CB7FA1">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不良反应/事件严重程度</w:t>
      </w:r>
      <w:r>
        <w:rPr>
          <w:rFonts w:hint="eastAsia" w:ascii="Times New Roman" w:hAnsi="Times New Roman" w:eastAsia="宋体" w:cstheme="minorEastAsia"/>
          <w:snapToGrid w:val="0"/>
          <w:color w:val="auto"/>
          <w:kern w:val="0"/>
          <w:sz w:val="24"/>
          <w:lang w:bidi="ar"/>
        </w:rPr>
        <w:t>应</w:t>
      </w:r>
      <w:r>
        <w:rPr>
          <w:rFonts w:ascii="Times New Roman" w:hAnsi="Times New Roman" w:eastAsia="宋体" w:cstheme="minorEastAsia"/>
          <w:snapToGrid w:val="0"/>
          <w:color w:val="auto"/>
          <w:kern w:val="0"/>
          <w:sz w:val="24"/>
          <w:lang w:bidi="ar"/>
        </w:rPr>
        <w:t>根据实际情况在系统进行选择</w:t>
      </w:r>
      <w:r>
        <w:rPr>
          <w:rFonts w:hint="eastAsia" w:ascii="Times New Roman" w:hAnsi="Times New Roman" w:eastAsia="宋体" w:cstheme="minorEastAsia"/>
          <w:snapToGrid w:val="0"/>
          <w:color w:val="auto"/>
          <w:kern w:val="0"/>
          <w:sz w:val="24"/>
          <w:lang w:bidi="ar"/>
        </w:rPr>
        <w:t>（“一般”或“严重”）</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只</w:t>
      </w:r>
      <w:r>
        <w:rPr>
          <w:rFonts w:ascii="Times New Roman" w:hAnsi="Times New Roman" w:eastAsia="宋体" w:cstheme="minorEastAsia"/>
          <w:snapToGrid w:val="0"/>
          <w:color w:val="auto"/>
          <w:kern w:val="0"/>
          <w:sz w:val="24"/>
          <w:lang w:bidi="ar"/>
        </w:rPr>
        <w:t>有一个不良反应</w:t>
      </w:r>
      <w:r>
        <w:rPr>
          <w:rFonts w:hint="eastAsia" w:ascii="Times New Roman" w:hAnsi="Times New Roman" w:eastAsia="宋体" w:cstheme="minorEastAsia"/>
          <w:snapToGrid w:val="0"/>
          <w:color w:val="auto"/>
          <w:kern w:val="0"/>
          <w:sz w:val="24"/>
          <w:lang w:bidi="ar"/>
        </w:rPr>
        <w:t>/事件时</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应</w:t>
      </w:r>
      <w:r>
        <w:rPr>
          <w:rFonts w:ascii="Times New Roman" w:hAnsi="Times New Roman" w:eastAsia="宋体" w:cstheme="minorEastAsia"/>
          <w:snapToGrid w:val="0"/>
          <w:color w:val="auto"/>
          <w:kern w:val="0"/>
          <w:sz w:val="24"/>
          <w:lang w:bidi="ar"/>
        </w:rPr>
        <w:t>与报告类型一致</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有多个不良反应</w:t>
      </w:r>
      <w:r>
        <w:rPr>
          <w:rFonts w:hint="eastAsia" w:ascii="Times New Roman" w:hAnsi="Times New Roman" w:eastAsia="宋体" w:cstheme="minorEastAsia"/>
          <w:snapToGrid w:val="0"/>
          <w:color w:val="auto"/>
          <w:kern w:val="0"/>
          <w:sz w:val="24"/>
          <w:lang w:bidi="ar"/>
        </w:rPr>
        <w:t>/事件</w:t>
      </w:r>
      <w:r>
        <w:rPr>
          <w:rFonts w:ascii="Times New Roman" w:hAnsi="Times New Roman" w:eastAsia="宋体" w:cstheme="minorEastAsia"/>
          <w:snapToGrid w:val="0"/>
          <w:color w:val="auto"/>
          <w:kern w:val="0"/>
          <w:sz w:val="24"/>
          <w:lang w:bidi="ar"/>
        </w:rPr>
        <w:t>，严重程度不同时，可与报告类型不一致</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若</w:t>
      </w:r>
      <w:r>
        <w:rPr>
          <w:rFonts w:hint="eastAsia" w:ascii="Times New Roman" w:hAnsi="Times New Roman" w:eastAsia="宋体" w:cstheme="minorEastAsia"/>
          <w:snapToGrid w:val="0"/>
          <w:color w:val="auto"/>
          <w:kern w:val="0"/>
          <w:sz w:val="24"/>
          <w:lang w:bidi="ar"/>
        </w:rPr>
        <w:t>其中</w:t>
      </w:r>
      <w:r>
        <w:rPr>
          <w:rFonts w:ascii="Times New Roman" w:hAnsi="Times New Roman" w:eastAsia="宋体" w:cstheme="minorEastAsia"/>
          <w:snapToGrid w:val="0"/>
          <w:color w:val="auto"/>
          <w:kern w:val="0"/>
          <w:sz w:val="24"/>
          <w:lang w:bidi="ar"/>
        </w:rPr>
        <w:t>有</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的，报告类型应选择</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w:t>
      </w:r>
    </w:p>
    <w:p w14:paraId="0B04C337">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b/>
          <w:bCs/>
          <w:snapToGrid w:val="0"/>
          <w:color w:val="auto"/>
          <w:kern w:val="0"/>
          <w:sz w:val="24"/>
          <w:lang w:bidi="ar"/>
        </w:rPr>
        <w:t>不良反应/事件发生时间</w:t>
      </w:r>
      <w:r>
        <w:rPr>
          <w:rFonts w:hint="eastAsia" w:ascii="Times New Roman" w:hAnsi="Times New Roman" w:eastAsia="宋体" w:cstheme="minorEastAsia"/>
          <w:snapToGrid w:val="0"/>
          <w:color w:val="auto"/>
          <w:kern w:val="0"/>
          <w:sz w:val="24"/>
          <w:lang w:bidi="ar"/>
        </w:rPr>
        <w:t>应</w:t>
      </w:r>
      <w:r>
        <w:rPr>
          <w:rFonts w:ascii="Times New Roman" w:hAnsi="Times New Roman" w:eastAsia="宋体" w:cstheme="minorEastAsia"/>
          <w:snapToGrid w:val="0"/>
          <w:color w:val="auto"/>
          <w:kern w:val="0"/>
          <w:sz w:val="24"/>
          <w:lang w:bidi="ar"/>
        </w:rPr>
        <w:t>填写</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发生的具体时间，可以选择日期，也可以输入日期（如2025-07-24）。如果有多个不良反应，发生时间不同，可以分别上报。有些特殊情况：如当</w:t>
      </w:r>
      <w:r>
        <w:rPr>
          <w:rFonts w:ascii="Times New Roman" w:hAnsi="Times New Roman" w:eastAsia="宋体" w:cstheme="minorEastAsia"/>
          <w:snapToGrid w:val="0"/>
          <w:color w:val="auto"/>
          <w:kern w:val="0"/>
          <w:sz w:val="24"/>
          <w:lang w:bidi="ar"/>
        </w:rPr>
        <w:t>一个新生儿被发现有出生缺陷，不良反应/事件的发生时间就是该新生儿的出生日期</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当一个胎儿因为先天缺陷而发生早产或流产时，不良反应/事件的发生时间就是妊娠终止日期。</w:t>
      </w:r>
    </w:p>
    <w:p w14:paraId="56942870">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b/>
          <w:bCs/>
          <w:snapToGrid w:val="0"/>
          <w:color w:val="auto"/>
          <w:kern w:val="0"/>
          <w:sz w:val="24"/>
          <w:lang w:bidi="ar"/>
        </w:rPr>
        <w:t>不良反应/事件过程描述及处理情况</w:t>
      </w:r>
      <w:r>
        <w:rPr>
          <w:rFonts w:ascii="Times New Roman" w:hAnsi="Times New Roman" w:eastAsia="宋体" w:cstheme="minorEastAsia"/>
          <w:snapToGrid w:val="0"/>
          <w:color w:val="auto"/>
          <w:kern w:val="0"/>
          <w:sz w:val="24"/>
          <w:lang w:bidi="ar"/>
        </w:rPr>
        <w:t>应体现出</w:t>
      </w:r>
      <w:r>
        <w:rPr>
          <w:rFonts w:hint="eastAsia" w:ascii="Times New Roman" w:hAnsi="Times New Roman" w:eastAsia="宋体" w:cstheme="minorEastAsia"/>
          <w:snapToGrid w:val="0"/>
          <w:color w:val="auto"/>
          <w:kern w:val="0"/>
          <w:sz w:val="24"/>
          <w:lang w:bidi="ar"/>
        </w:rPr>
        <w:t>“三</w:t>
      </w:r>
      <w:r>
        <w:rPr>
          <w:rFonts w:ascii="Times New Roman" w:hAnsi="Times New Roman" w:eastAsia="宋体" w:cstheme="minorEastAsia"/>
          <w:snapToGrid w:val="0"/>
          <w:color w:val="auto"/>
          <w:kern w:val="0"/>
          <w:sz w:val="24"/>
          <w:lang w:bidi="ar"/>
        </w:rPr>
        <w:t>个时间、</w:t>
      </w:r>
      <w:r>
        <w:rPr>
          <w:rFonts w:hint="eastAsia" w:ascii="Times New Roman" w:hAnsi="Times New Roman" w:eastAsia="宋体" w:cstheme="minorEastAsia"/>
          <w:snapToGrid w:val="0"/>
          <w:color w:val="auto"/>
          <w:kern w:val="0"/>
          <w:sz w:val="24"/>
          <w:lang w:bidi="ar"/>
        </w:rPr>
        <w:t>三</w:t>
      </w:r>
      <w:r>
        <w:rPr>
          <w:rFonts w:ascii="Times New Roman" w:hAnsi="Times New Roman" w:eastAsia="宋体" w:cstheme="minorEastAsia"/>
          <w:snapToGrid w:val="0"/>
          <w:color w:val="auto"/>
          <w:kern w:val="0"/>
          <w:sz w:val="24"/>
          <w:lang w:bidi="ar"/>
        </w:rPr>
        <w:t>个项目和</w:t>
      </w:r>
      <w:r>
        <w:rPr>
          <w:rFonts w:hint="eastAsia" w:ascii="Times New Roman" w:hAnsi="Times New Roman" w:eastAsia="宋体" w:cstheme="minorEastAsia"/>
          <w:snapToGrid w:val="0"/>
          <w:color w:val="auto"/>
          <w:kern w:val="0"/>
          <w:sz w:val="24"/>
          <w:lang w:bidi="ar"/>
        </w:rPr>
        <w:t>两</w:t>
      </w:r>
      <w:r>
        <w:rPr>
          <w:rFonts w:ascii="Times New Roman" w:hAnsi="Times New Roman" w:eastAsia="宋体" w:cstheme="minorEastAsia"/>
          <w:snapToGrid w:val="0"/>
          <w:color w:val="auto"/>
          <w:kern w:val="0"/>
          <w:sz w:val="24"/>
          <w:lang w:bidi="ar"/>
        </w:rPr>
        <w:t>个尽可能</w:t>
      </w:r>
      <w:r>
        <w:rPr>
          <w:rFonts w:hint="eastAsia" w:ascii="Times New Roman" w:hAnsi="Times New Roman" w:eastAsia="宋体" w:cstheme="minorEastAsia"/>
          <w:snapToGrid w:val="0"/>
          <w:color w:val="auto"/>
          <w:kern w:val="0"/>
          <w:sz w:val="24"/>
          <w:lang w:bidi="ar"/>
        </w:rPr>
        <w:t>”（图10左）</w:t>
      </w:r>
      <w:r>
        <w:rPr>
          <w:rFonts w:ascii="Times New Roman" w:hAnsi="Times New Roman" w:eastAsia="宋体" w:cstheme="minorEastAsia"/>
          <w:snapToGrid w:val="0"/>
          <w:color w:val="auto"/>
          <w:kern w:val="0"/>
          <w:sz w:val="24"/>
          <w:lang w:bidi="ar"/>
        </w:rPr>
        <w:t>。</w:t>
      </w:r>
    </w:p>
    <w:p w14:paraId="509A83D7">
      <w:pPr>
        <w:topLinePunct/>
        <w:adjustRightInd w:val="0"/>
        <w:snapToGrid w:val="0"/>
        <w:jc w:val="left"/>
        <w:rPr>
          <w:rFonts w:ascii="Times New Roman" w:hAnsi="Times New Roman"/>
          <w:color w:val="auto"/>
        </w:rPr>
      </w:pPr>
      <w:r>
        <w:rPr>
          <w:rFonts w:ascii="Times New Roman" w:hAnsi="Times New Roman"/>
          <w:color w:val="auto"/>
        </w:rPr>
        <w:drawing>
          <wp:inline distT="0" distB="0" distL="114300" distR="114300">
            <wp:extent cx="2828925" cy="1991995"/>
            <wp:effectExtent l="0" t="0" r="952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2828925" cy="1991995"/>
                    </a:xfrm>
                    <a:prstGeom prst="rect">
                      <a:avLst/>
                    </a:prstGeom>
                    <a:noFill/>
                    <a:ln>
                      <a:noFill/>
                    </a:ln>
                  </pic:spPr>
                </pic:pic>
              </a:graphicData>
            </a:graphic>
          </wp:inline>
        </w:drawing>
      </w:r>
      <w:r>
        <w:rPr>
          <w:rFonts w:ascii="Times New Roman" w:hAnsi="Times New Roman"/>
          <w:color w:val="auto"/>
        </w:rPr>
        <w:drawing>
          <wp:inline distT="0" distB="0" distL="114300" distR="114300">
            <wp:extent cx="2418080" cy="2073910"/>
            <wp:effectExtent l="0" t="0" r="127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2418080" cy="2073910"/>
                    </a:xfrm>
                    <a:prstGeom prst="rect">
                      <a:avLst/>
                    </a:prstGeom>
                    <a:noFill/>
                    <a:ln>
                      <a:noFill/>
                    </a:ln>
                  </pic:spPr>
                </pic:pic>
              </a:graphicData>
            </a:graphic>
          </wp:inline>
        </w:drawing>
      </w:r>
    </w:p>
    <w:p w14:paraId="71B3BD3B">
      <w:pPr>
        <w:topLinePunct/>
        <w:adjustRightInd w:val="0"/>
        <w:snapToGrid w:val="0"/>
        <w:spacing w:line="360" w:lineRule="auto"/>
        <w:ind w:firstLine="360" w:firstLineChars="200"/>
        <w:jc w:val="center"/>
        <w:rPr>
          <w:rFonts w:ascii="Times New Roman" w:hAnsi="Times New Roman"/>
          <w:color w:val="auto"/>
          <w:sz w:val="18"/>
          <w:szCs w:val="18"/>
        </w:rPr>
      </w:pPr>
      <w:r>
        <w:rPr>
          <w:rFonts w:hint="eastAsia" w:ascii="Times New Roman" w:hAnsi="Times New Roman"/>
          <w:color w:val="auto"/>
          <w:sz w:val="18"/>
          <w:szCs w:val="18"/>
        </w:rPr>
        <w:t xml:space="preserve">图10 </w:t>
      </w:r>
      <w:r>
        <w:rPr>
          <w:rFonts w:ascii="Times New Roman" w:hAnsi="Times New Roman" w:eastAsia="宋体" w:cstheme="minorEastAsia"/>
          <w:snapToGrid w:val="0"/>
          <w:color w:val="auto"/>
          <w:kern w:val="0"/>
          <w:sz w:val="18"/>
          <w:szCs w:val="18"/>
          <w:lang w:bidi="ar"/>
        </w:rPr>
        <w:t>不良反应/事件过程描述</w:t>
      </w:r>
      <w:r>
        <w:rPr>
          <w:rFonts w:hint="eastAsia" w:ascii="Times New Roman" w:hAnsi="Times New Roman" w:eastAsia="宋体" w:cstheme="minorEastAsia"/>
          <w:snapToGrid w:val="0"/>
          <w:color w:val="auto"/>
          <w:kern w:val="0"/>
          <w:sz w:val="18"/>
          <w:szCs w:val="18"/>
          <w:lang w:bidi="ar"/>
        </w:rPr>
        <w:t>填写要求</w:t>
      </w:r>
    </w:p>
    <w:p w14:paraId="4737412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填写不良反应/事件的</w:t>
      </w:r>
      <w:r>
        <w:rPr>
          <w:rFonts w:hint="eastAsia" w:ascii="Times New Roman" w:hAnsi="Times New Roman" w:eastAsia="宋体" w:cstheme="minorEastAsia"/>
          <w:snapToGrid w:val="0"/>
          <w:color w:val="auto"/>
          <w:kern w:val="0"/>
          <w:sz w:val="24"/>
          <w:lang w:bidi="ar"/>
        </w:rPr>
        <w:t>临床</w:t>
      </w:r>
      <w:r>
        <w:rPr>
          <w:rFonts w:ascii="Times New Roman" w:hAnsi="Times New Roman" w:eastAsia="宋体" w:cstheme="minorEastAsia"/>
          <w:snapToGrid w:val="0"/>
          <w:color w:val="auto"/>
          <w:kern w:val="0"/>
          <w:sz w:val="24"/>
          <w:lang w:bidi="ar"/>
        </w:rPr>
        <w:t>表现时</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要尽可能明确、具体。如</w:t>
      </w:r>
      <w:r>
        <w:rPr>
          <w:rFonts w:hint="eastAsia" w:ascii="Times New Roman" w:hAnsi="Times New Roman" w:eastAsia="宋体" w:cstheme="minorEastAsia"/>
          <w:snapToGrid w:val="0"/>
          <w:color w:val="auto"/>
          <w:kern w:val="0"/>
          <w:sz w:val="24"/>
          <w:lang w:bidi="ar"/>
        </w:rPr>
        <w:t>过敏性</w:t>
      </w:r>
      <w:r>
        <w:rPr>
          <w:rFonts w:ascii="Times New Roman" w:hAnsi="Times New Roman" w:eastAsia="宋体" w:cstheme="minorEastAsia"/>
          <w:snapToGrid w:val="0"/>
          <w:color w:val="auto"/>
          <w:kern w:val="0"/>
          <w:sz w:val="24"/>
          <w:lang w:bidi="ar"/>
        </w:rPr>
        <w:t>皮疹，</w:t>
      </w:r>
      <w:r>
        <w:rPr>
          <w:rFonts w:hint="eastAsia" w:ascii="Times New Roman" w:hAnsi="Times New Roman" w:eastAsia="宋体" w:cstheme="minorEastAsia"/>
          <w:snapToGrid w:val="0"/>
          <w:color w:val="auto"/>
          <w:kern w:val="0"/>
          <w:sz w:val="24"/>
          <w:lang w:bidi="ar"/>
        </w:rPr>
        <w:t>要</w:t>
      </w:r>
      <w:r>
        <w:rPr>
          <w:rFonts w:ascii="Times New Roman" w:hAnsi="Times New Roman" w:eastAsia="宋体" w:cstheme="minorEastAsia"/>
          <w:snapToGrid w:val="0"/>
          <w:color w:val="auto"/>
          <w:kern w:val="0"/>
          <w:sz w:val="24"/>
          <w:lang w:bidi="ar"/>
        </w:rPr>
        <w:t>填写</w:t>
      </w:r>
      <w:r>
        <w:rPr>
          <w:rFonts w:hint="eastAsia" w:ascii="Times New Roman" w:hAnsi="Times New Roman" w:eastAsia="宋体" w:cstheme="minorEastAsia"/>
          <w:snapToGrid w:val="0"/>
          <w:color w:val="auto"/>
          <w:kern w:val="0"/>
          <w:sz w:val="24"/>
          <w:lang w:bidi="ar"/>
        </w:rPr>
        <w:t>皮疹</w:t>
      </w:r>
      <w:r>
        <w:rPr>
          <w:rFonts w:ascii="Times New Roman" w:hAnsi="Times New Roman" w:eastAsia="宋体" w:cstheme="minorEastAsia"/>
          <w:snapToGrid w:val="0"/>
          <w:color w:val="auto"/>
          <w:kern w:val="0"/>
          <w:sz w:val="24"/>
          <w:lang w:bidi="ar"/>
        </w:rPr>
        <w:t>的类型、性质、部位、</w:t>
      </w:r>
      <w:r>
        <w:rPr>
          <w:rFonts w:hint="eastAsia" w:ascii="Times New Roman" w:hAnsi="Times New Roman" w:eastAsia="宋体" w:cstheme="minorEastAsia"/>
          <w:snapToGrid w:val="0"/>
          <w:color w:val="auto"/>
          <w:kern w:val="0"/>
          <w:sz w:val="24"/>
          <w:lang w:bidi="ar"/>
        </w:rPr>
        <w:t>范围</w:t>
      </w:r>
      <w:r>
        <w:rPr>
          <w:rFonts w:ascii="Times New Roman" w:hAnsi="Times New Roman" w:eastAsia="宋体" w:cstheme="minorEastAsia"/>
          <w:snapToGrid w:val="0"/>
          <w:color w:val="auto"/>
          <w:kern w:val="0"/>
          <w:sz w:val="24"/>
          <w:lang w:bidi="ar"/>
        </w:rPr>
        <w:t>等</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严重</w:t>
      </w:r>
      <w:r>
        <w:rPr>
          <w:rFonts w:hint="eastAsia" w:ascii="Times New Roman" w:hAnsi="Times New Roman" w:eastAsia="宋体" w:cstheme="minorEastAsia"/>
          <w:snapToGrid w:val="0"/>
          <w:color w:val="auto"/>
          <w:kern w:val="0"/>
          <w:sz w:val="24"/>
          <w:lang w:bidi="ar"/>
        </w:rPr>
        <w:t>的</w:t>
      </w:r>
      <w:r>
        <w:rPr>
          <w:rFonts w:ascii="Times New Roman" w:hAnsi="Times New Roman" w:eastAsia="宋体" w:cstheme="minorEastAsia"/>
          <w:snapToGrid w:val="0"/>
          <w:color w:val="auto"/>
          <w:kern w:val="0"/>
          <w:sz w:val="24"/>
          <w:lang w:bidi="ar"/>
        </w:rPr>
        <w:t>病例</w:t>
      </w:r>
      <w:r>
        <w:rPr>
          <w:rFonts w:hint="eastAsia" w:ascii="Times New Roman" w:hAnsi="Times New Roman" w:eastAsia="宋体" w:cstheme="minorEastAsia"/>
          <w:snapToGrid w:val="0"/>
          <w:color w:val="auto"/>
          <w:kern w:val="0"/>
          <w:sz w:val="24"/>
          <w:lang w:bidi="ar"/>
        </w:rPr>
        <w:t>还应记录</w:t>
      </w:r>
      <w:r>
        <w:rPr>
          <w:rFonts w:ascii="Times New Roman" w:hAnsi="Times New Roman" w:eastAsia="宋体" w:cstheme="minorEastAsia"/>
          <w:snapToGrid w:val="0"/>
          <w:color w:val="auto"/>
          <w:kern w:val="0"/>
          <w:sz w:val="24"/>
          <w:lang w:bidi="ar"/>
        </w:rPr>
        <w:t>生命体征</w:t>
      </w:r>
      <w:r>
        <w:rPr>
          <w:rFonts w:hint="eastAsia" w:ascii="Times New Roman" w:hAnsi="Times New Roman" w:eastAsia="宋体" w:cstheme="minorEastAsia"/>
          <w:snapToGrid w:val="0"/>
          <w:color w:val="auto"/>
          <w:kern w:val="0"/>
          <w:sz w:val="24"/>
          <w:lang w:bidi="ar"/>
        </w:rPr>
        <w:t>，如</w:t>
      </w:r>
      <w:r>
        <w:rPr>
          <w:rFonts w:ascii="Times New Roman" w:hAnsi="Times New Roman" w:eastAsia="宋体" w:cstheme="minorEastAsia"/>
          <w:snapToGrid w:val="0"/>
          <w:color w:val="auto"/>
          <w:kern w:val="0"/>
          <w:sz w:val="24"/>
          <w:lang w:bidi="ar"/>
        </w:rPr>
        <w:t>体温、血压、心率、呼吸</w:t>
      </w:r>
      <w:r>
        <w:rPr>
          <w:rFonts w:hint="eastAsia" w:ascii="Times New Roman" w:hAnsi="Times New Roman" w:eastAsia="宋体" w:cstheme="minorEastAsia"/>
          <w:snapToGrid w:val="0"/>
          <w:color w:val="auto"/>
          <w:kern w:val="0"/>
          <w:sz w:val="24"/>
          <w:lang w:bidi="ar"/>
        </w:rPr>
        <w:t>频率等。</w:t>
      </w:r>
    </w:p>
    <w:p w14:paraId="42942C1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有关的辅助检查结果要尽可能明确填写</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如怀疑某药引起</w:t>
      </w:r>
      <w:r>
        <w:rPr>
          <w:rFonts w:hint="eastAsia" w:ascii="Times New Roman" w:hAnsi="Times New Roman" w:eastAsia="宋体" w:cstheme="minorEastAsia"/>
          <w:snapToGrid w:val="0"/>
          <w:color w:val="auto"/>
          <w:kern w:val="0"/>
          <w:sz w:val="24"/>
          <w:lang w:bidi="ar"/>
        </w:rPr>
        <w:t>中性粒细胞</w:t>
      </w:r>
      <w:r>
        <w:rPr>
          <w:rFonts w:ascii="Times New Roman" w:hAnsi="Times New Roman" w:eastAsia="宋体" w:cstheme="minorEastAsia"/>
          <w:snapToGrid w:val="0"/>
          <w:color w:val="auto"/>
          <w:kern w:val="0"/>
          <w:sz w:val="24"/>
          <w:lang w:bidi="ar"/>
        </w:rPr>
        <w:t>减少</w:t>
      </w:r>
      <w:r>
        <w:rPr>
          <w:rFonts w:hint="eastAsia" w:ascii="Times New Roman" w:hAnsi="Times New Roman" w:eastAsia="宋体" w:cstheme="minorEastAsia"/>
          <w:snapToGrid w:val="0"/>
          <w:color w:val="auto"/>
          <w:kern w:val="0"/>
          <w:sz w:val="24"/>
          <w:lang w:bidi="ar"/>
        </w:rPr>
        <w:t>症</w:t>
      </w:r>
      <w:r>
        <w:rPr>
          <w:rFonts w:ascii="Times New Roman" w:hAnsi="Times New Roman" w:eastAsia="宋体" w:cstheme="minorEastAsia"/>
          <w:snapToGrid w:val="0"/>
          <w:color w:val="auto"/>
          <w:kern w:val="0"/>
          <w:sz w:val="24"/>
          <w:lang w:bidi="ar"/>
        </w:rPr>
        <w:t>，应填写患者用药前</w:t>
      </w:r>
      <w:r>
        <w:rPr>
          <w:rFonts w:hint="eastAsia" w:ascii="Times New Roman" w:hAnsi="Times New Roman" w:eastAsia="宋体" w:cstheme="minorEastAsia"/>
          <w:snapToGrid w:val="0"/>
          <w:color w:val="auto"/>
          <w:kern w:val="0"/>
          <w:sz w:val="24"/>
          <w:lang w:bidi="ar"/>
        </w:rPr>
        <w:t>后（注明检验日期）</w:t>
      </w:r>
      <w:r>
        <w:rPr>
          <w:rFonts w:ascii="Times New Roman" w:hAnsi="Times New Roman" w:eastAsia="宋体" w:cstheme="minorEastAsia"/>
          <w:snapToGrid w:val="0"/>
          <w:color w:val="auto"/>
          <w:kern w:val="0"/>
          <w:sz w:val="24"/>
          <w:lang w:bidi="ar"/>
        </w:rPr>
        <w:t>的</w:t>
      </w:r>
      <w:r>
        <w:rPr>
          <w:rFonts w:hint="eastAsia" w:ascii="Times New Roman" w:hAnsi="Times New Roman" w:eastAsia="宋体" w:cstheme="minorEastAsia"/>
          <w:snapToGrid w:val="0"/>
          <w:color w:val="auto"/>
          <w:kern w:val="0"/>
          <w:sz w:val="24"/>
          <w:lang w:bidi="ar"/>
        </w:rPr>
        <w:t>中性粒细胞</w:t>
      </w:r>
      <w:r>
        <w:rPr>
          <w:rFonts w:ascii="Times New Roman" w:hAnsi="Times New Roman" w:eastAsia="宋体" w:cstheme="minorEastAsia"/>
          <w:snapToGrid w:val="0"/>
          <w:color w:val="auto"/>
          <w:kern w:val="0"/>
          <w:sz w:val="24"/>
          <w:lang w:bidi="ar"/>
        </w:rPr>
        <w:t>计数</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如怀疑某药引起</w:t>
      </w:r>
      <w:r>
        <w:rPr>
          <w:rFonts w:hint="eastAsia" w:ascii="Times New Roman" w:hAnsi="Times New Roman" w:eastAsia="宋体" w:cstheme="minorEastAsia"/>
          <w:snapToGrid w:val="0"/>
          <w:color w:val="auto"/>
          <w:kern w:val="0"/>
          <w:sz w:val="24"/>
          <w:lang w:bidi="ar"/>
        </w:rPr>
        <w:t>的</w:t>
      </w:r>
      <w:r>
        <w:rPr>
          <w:rFonts w:ascii="Times New Roman" w:hAnsi="Times New Roman" w:eastAsia="宋体" w:cstheme="minorEastAsia"/>
          <w:snapToGrid w:val="0"/>
          <w:color w:val="auto"/>
          <w:kern w:val="0"/>
          <w:sz w:val="24"/>
          <w:lang w:bidi="ar"/>
        </w:rPr>
        <w:t>肝损害，应填写用药前后的肝功</w:t>
      </w:r>
      <w:r>
        <w:rPr>
          <w:rFonts w:hint="eastAsia" w:ascii="Times New Roman" w:hAnsi="Times New Roman" w:eastAsia="宋体" w:cstheme="minorEastAsia"/>
          <w:snapToGrid w:val="0"/>
          <w:color w:val="auto"/>
          <w:kern w:val="0"/>
          <w:sz w:val="24"/>
          <w:lang w:bidi="ar"/>
        </w:rPr>
        <w:t>能检验值</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点击图9中对应项目，如“肝功能”，进入图10右中输入数据内容，点击“确定”便可导入相关数据，也可根据检验报告手动输入。</w:t>
      </w:r>
    </w:p>
    <w:p w14:paraId="356A85BE">
      <w:pPr>
        <w:topLinePunct/>
        <w:adjustRightInd w:val="0"/>
        <w:snapToGrid w:val="0"/>
        <w:spacing w:line="360" w:lineRule="auto"/>
        <w:ind w:firstLine="482" w:firstLineChars="200"/>
        <w:rPr>
          <w:rFonts w:ascii="Times New Roman" w:hAnsi="Times New Roman" w:eastAsia="宋体" w:cstheme="minorEastAsia"/>
          <w:b/>
          <w:bCs/>
          <w:snapToGrid w:val="0"/>
          <w:color w:val="auto"/>
          <w:kern w:val="0"/>
          <w:sz w:val="24"/>
          <w:lang w:bidi="ar"/>
        </w:rPr>
      </w:pPr>
      <w:r>
        <w:rPr>
          <w:rFonts w:ascii="Times New Roman" w:hAnsi="Times New Roman" w:eastAsia="宋体" w:cstheme="minorEastAsia"/>
          <w:b/>
          <w:bCs/>
          <w:snapToGrid w:val="0"/>
          <w:color w:val="auto"/>
          <w:kern w:val="0"/>
          <w:sz w:val="24"/>
          <w:lang w:bidi="ar"/>
        </w:rPr>
        <w:t>不良反应/事件的结果</w:t>
      </w:r>
      <w:r>
        <w:rPr>
          <w:rFonts w:hint="eastAsia" w:ascii="Times New Roman" w:hAnsi="Times New Roman" w:eastAsia="宋体" w:cstheme="minorEastAsia"/>
          <w:b/>
          <w:bCs/>
          <w:snapToGrid w:val="0"/>
          <w:color w:val="auto"/>
          <w:kern w:val="0"/>
          <w:sz w:val="24"/>
          <w:lang w:bidi="ar"/>
        </w:rPr>
        <w:t>可依据下列定义判断：</w:t>
      </w:r>
    </w:p>
    <w:p w14:paraId="60B0A7B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痊愈</w:t>
      </w:r>
      <w:r>
        <w:rPr>
          <w:rFonts w:hint="eastAsia" w:ascii="Times New Roman" w:hAnsi="Times New Roman" w:eastAsia="宋体" w:cstheme="minorEastAsia"/>
          <w:snapToGrid w:val="0"/>
          <w:color w:val="auto"/>
          <w:kern w:val="0"/>
          <w:sz w:val="24"/>
          <w:lang w:bidi="ar"/>
        </w:rPr>
        <w:t>：是指</w:t>
      </w:r>
      <w:r>
        <w:rPr>
          <w:rFonts w:ascii="Times New Roman" w:hAnsi="Times New Roman" w:eastAsia="宋体" w:cstheme="minorEastAsia"/>
          <w:snapToGrid w:val="0"/>
          <w:color w:val="auto"/>
          <w:kern w:val="0"/>
          <w:sz w:val="24"/>
          <w:lang w:bidi="ar"/>
        </w:rPr>
        <w:t>本次不良反应/事件经采取相应的医疗措施后的结果，不是指原患疾病的后果。例如患者的不良反应/事件已经痊愈，后来又死于原患疾病或与不良反应/事件无关的并发症，此栏应选择</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痊愈</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w:t>
      </w:r>
    </w:p>
    <w:p w14:paraId="0ED38AD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好转</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不良反应/事件经治疗后明显减轻，在填写报告表时尚未痊愈，选择</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好转</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w:t>
      </w:r>
    </w:p>
    <w:p w14:paraId="7CA9D5D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未好转</w:t>
      </w:r>
      <w:r>
        <w:rPr>
          <w:rFonts w:hint="eastAsia" w:ascii="Times New Roman" w:hAnsi="Times New Roman" w:eastAsia="宋体" w:cstheme="minorEastAsia"/>
          <w:snapToGrid w:val="0"/>
          <w:color w:val="auto"/>
          <w:kern w:val="0"/>
          <w:sz w:val="24"/>
          <w:lang w:bidi="ar"/>
        </w:rPr>
        <w:t>：若</w:t>
      </w:r>
      <w:r>
        <w:rPr>
          <w:rFonts w:ascii="Times New Roman" w:hAnsi="Times New Roman" w:eastAsia="宋体" w:cstheme="minorEastAsia"/>
          <w:snapToGrid w:val="0"/>
          <w:color w:val="auto"/>
          <w:kern w:val="0"/>
          <w:sz w:val="24"/>
          <w:lang w:bidi="ar"/>
        </w:rPr>
        <w:t>至报告时不良反应/事件仍无明确的转归趋势，</w:t>
      </w:r>
      <w:r>
        <w:rPr>
          <w:rFonts w:hint="eastAsia" w:ascii="Times New Roman" w:hAnsi="Times New Roman" w:eastAsia="宋体" w:cstheme="minorEastAsia"/>
          <w:snapToGrid w:val="0"/>
          <w:color w:val="auto"/>
          <w:kern w:val="0"/>
          <w:sz w:val="24"/>
          <w:lang w:bidi="ar"/>
        </w:rPr>
        <w:t>可</w:t>
      </w:r>
      <w:r>
        <w:rPr>
          <w:rFonts w:ascii="Times New Roman" w:hAnsi="Times New Roman" w:eastAsia="宋体" w:cstheme="minorEastAsia"/>
          <w:snapToGrid w:val="0"/>
          <w:color w:val="auto"/>
          <w:kern w:val="0"/>
          <w:sz w:val="24"/>
          <w:lang w:bidi="ar"/>
        </w:rPr>
        <w:t>选择</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未好转</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，应继续随访观察，以跟踪报告的形式补充信息。</w:t>
      </w:r>
    </w:p>
    <w:p w14:paraId="785DFE7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不详</w:t>
      </w:r>
      <w:r>
        <w:rPr>
          <w:rFonts w:hint="eastAsia" w:ascii="Times New Roman" w:hAnsi="Times New Roman" w:eastAsia="宋体" w:cstheme="minorEastAsia"/>
          <w:snapToGrid w:val="0"/>
          <w:color w:val="auto"/>
          <w:kern w:val="0"/>
          <w:sz w:val="24"/>
          <w:lang w:bidi="ar"/>
        </w:rPr>
        <w:t>：当</w:t>
      </w:r>
      <w:r>
        <w:rPr>
          <w:rFonts w:ascii="Times New Roman" w:hAnsi="Times New Roman" w:eastAsia="宋体" w:cstheme="minorEastAsia"/>
          <w:snapToGrid w:val="0"/>
          <w:color w:val="auto"/>
          <w:kern w:val="0"/>
          <w:sz w:val="24"/>
          <w:lang w:bidi="ar"/>
        </w:rPr>
        <w:t>无法获知不良反应/事件的结果时，</w:t>
      </w:r>
      <w:r>
        <w:rPr>
          <w:rFonts w:hint="eastAsia" w:ascii="Times New Roman" w:hAnsi="Times New Roman" w:eastAsia="宋体" w:cstheme="minorEastAsia"/>
          <w:snapToGrid w:val="0"/>
          <w:color w:val="auto"/>
          <w:kern w:val="0"/>
          <w:sz w:val="24"/>
          <w:lang w:bidi="ar"/>
        </w:rPr>
        <w:t>应</w:t>
      </w:r>
      <w:r>
        <w:rPr>
          <w:rFonts w:ascii="Times New Roman" w:hAnsi="Times New Roman" w:eastAsia="宋体" w:cstheme="minorEastAsia"/>
          <w:snapToGrid w:val="0"/>
          <w:color w:val="auto"/>
          <w:kern w:val="0"/>
          <w:sz w:val="24"/>
          <w:lang w:bidi="ar"/>
        </w:rPr>
        <w:t>选择</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不详</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bidi="ar"/>
        </w:rPr>
        <w:t>勾选“不详”应在不良反应过程描述或备注中说明。</w:t>
      </w:r>
    </w:p>
    <w:p w14:paraId="18ED70A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有后遗症</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不良反应/事件经治疗后，未能痊愈而留有后遗症时，应注明后遗症的表现。后遗症即永久的或长期的生理机能障碍，应具体填写其临床表现，注意不应将恢复期或恢复阶段的某些症状视为后遗症。</w:t>
      </w:r>
      <w:r>
        <w:rPr>
          <w:rFonts w:hint="eastAsia" w:ascii="Times New Roman" w:hAnsi="Times New Roman" w:eastAsia="宋体" w:cstheme="minorEastAsia"/>
          <w:snapToGrid w:val="0"/>
          <w:color w:val="auto"/>
          <w:kern w:val="0"/>
          <w:sz w:val="24"/>
          <w:lang w:bidi="ar"/>
        </w:rPr>
        <w:t>勾选“有后遗症”（图11）后，需要输入关键词，选择后遗症表现（如“依赖肾透析”）。</w:t>
      </w:r>
    </w:p>
    <w:p w14:paraId="5E470FB0">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901065"/>
            <wp:effectExtent l="0" t="0" r="11430" b="1333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0"/>
                    <a:stretch>
                      <a:fillRect/>
                    </a:stretch>
                  </pic:blipFill>
                  <pic:spPr>
                    <a:xfrm>
                      <a:off x="0" y="0"/>
                      <a:ext cx="4960620" cy="901065"/>
                    </a:xfrm>
                    <a:prstGeom prst="rect">
                      <a:avLst/>
                    </a:prstGeom>
                    <a:noFill/>
                    <a:ln>
                      <a:noFill/>
                    </a:ln>
                  </pic:spPr>
                </pic:pic>
              </a:graphicData>
            </a:graphic>
          </wp:inline>
        </w:drawing>
      </w:r>
    </w:p>
    <w:p w14:paraId="51F0FAD7">
      <w:pPr>
        <w:topLinePunct/>
        <w:adjustRightInd w:val="0"/>
        <w:snapToGrid w:val="0"/>
        <w:spacing w:line="360" w:lineRule="auto"/>
        <w:jc w:val="center"/>
        <w:rPr>
          <w:rFonts w:ascii="Times New Roman" w:hAnsi="Times New Roman"/>
          <w:color w:val="auto"/>
        </w:rPr>
      </w:pPr>
      <w:r>
        <w:rPr>
          <w:rFonts w:hint="eastAsia" w:ascii="Times New Roman" w:hAnsi="Times New Roman"/>
          <w:color w:val="auto"/>
        </w:rPr>
        <w:t>图11 后遗症表现</w:t>
      </w:r>
    </w:p>
    <w:p w14:paraId="1BA7408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死亡</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患者因不良反应/事件导致死亡时，应填写直接死因和死亡时间。对于不良反应/事件结果为有后遗症或死亡的病例，应附详细资料。</w:t>
      </w:r>
      <w:r>
        <w:rPr>
          <w:rFonts w:hint="eastAsia" w:ascii="Times New Roman" w:hAnsi="Times New Roman" w:eastAsia="宋体" w:cstheme="minorEastAsia"/>
          <w:snapToGrid w:val="0"/>
          <w:color w:val="auto"/>
          <w:kern w:val="0"/>
          <w:sz w:val="24"/>
          <w:lang w:bidi="ar"/>
        </w:rPr>
        <w:t>勾选“死亡”应填写死亡时间和直接死因（图12）。</w:t>
      </w:r>
    </w:p>
    <w:p w14:paraId="2561DB22">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1391920"/>
            <wp:effectExtent l="0" t="0" r="11430" b="1778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1"/>
                    <a:stretch>
                      <a:fillRect/>
                    </a:stretch>
                  </pic:blipFill>
                  <pic:spPr>
                    <a:xfrm>
                      <a:off x="0" y="0"/>
                      <a:ext cx="4960620" cy="1391920"/>
                    </a:xfrm>
                    <a:prstGeom prst="rect">
                      <a:avLst/>
                    </a:prstGeom>
                    <a:noFill/>
                    <a:ln>
                      <a:noFill/>
                    </a:ln>
                  </pic:spPr>
                </pic:pic>
              </a:graphicData>
            </a:graphic>
          </wp:inline>
        </w:drawing>
      </w:r>
    </w:p>
    <w:p w14:paraId="2C00B448">
      <w:pPr>
        <w:topLinePunct/>
        <w:adjustRightInd w:val="0"/>
        <w:snapToGrid w:val="0"/>
        <w:jc w:val="center"/>
        <w:rPr>
          <w:rFonts w:ascii="Times New Roman" w:hAnsi="Times New Roman"/>
          <w:color w:val="auto"/>
        </w:rPr>
      </w:pPr>
      <w:r>
        <w:rPr>
          <w:rFonts w:hint="eastAsia" w:ascii="Times New Roman" w:hAnsi="Times New Roman"/>
          <w:color w:val="auto"/>
        </w:rPr>
        <w:t>图12 死亡</w:t>
      </w:r>
    </w:p>
    <w:p w14:paraId="037E3A6C">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6" w:name="_Toc21171"/>
      <w:r>
        <w:rPr>
          <w:rFonts w:hint="eastAsia" w:ascii="Times New Roman" w:hAnsi="Times New Roman" w:eastAsia="宋体" w:cstheme="minorEastAsia"/>
          <w:b/>
          <w:bCs/>
          <w:snapToGrid w:val="0"/>
          <w:color w:val="auto"/>
          <w:kern w:val="0"/>
          <w:sz w:val="24"/>
          <w:lang w:bidi="ar"/>
        </w:rPr>
        <w:t>4.3.5关联性评价</w:t>
      </w:r>
      <w:bookmarkEnd w:id="236"/>
    </w:p>
    <w:p w14:paraId="7B64909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因果关系的判定又称关联性评价，是评价怀疑药品与患者发生的不良反应/事件之间的相关性（评价标准见表1）。此处关联性评价（图13）仅勾选去激发（停药或减量后，反应是否消失或减轻？）和再激发（再次使用可疑药品后，是否再次出现同样反应/事件？）内容。</w:t>
      </w:r>
    </w:p>
    <w:p w14:paraId="54BAB80F">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93005" cy="2369185"/>
            <wp:effectExtent l="0" t="0" r="17145" b="1206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2"/>
                    <a:stretch>
                      <a:fillRect/>
                    </a:stretch>
                  </pic:blipFill>
                  <pic:spPr>
                    <a:xfrm>
                      <a:off x="0" y="0"/>
                      <a:ext cx="4993005" cy="2369185"/>
                    </a:xfrm>
                    <a:prstGeom prst="rect">
                      <a:avLst/>
                    </a:prstGeom>
                    <a:noFill/>
                    <a:ln>
                      <a:noFill/>
                    </a:ln>
                  </pic:spPr>
                </pic:pic>
              </a:graphicData>
            </a:graphic>
          </wp:inline>
        </w:drawing>
      </w:r>
    </w:p>
    <w:p w14:paraId="27EE7876">
      <w:pPr>
        <w:topLinePunct/>
        <w:adjustRightInd w:val="0"/>
        <w:snapToGrid w:val="0"/>
        <w:spacing w:line="360" w:lineRule="auto"/>
        <w:jc w:val="center"/>
        <w:rPr>
          <w:rFonts w:ascii="Times New Roman" w:hAnsi="Times New Roman"/>
          <w:color w:val="auto"/>
        </w:rPr>
      </w:pPr>
      <w:r>
        <w:rPr>
          <w:rFonts w:hint="eastAsia" w:ascii="Times New Roman" w:hAnsi="Times New Roman"/>
          <w:color w:val="auto"/>
        </w:rPr>
        <w:t>图13 关联性评价</w:t>
      </w:r>
    </w:p>
    <w:p w14:paraId="7EB88740">
      <w:pPr>
        <w:topLinePunct/>
        <w:adjustRightInd w:val="0"/>
        <w:snapToGrid w:val="0"/>
        <w:spacing w:line="360" w:lineRule="auto"/>
        <w:jc w:val="center"/>
        <w:rPr>
          <w:rFonts w:ascii="Times New Roman" w:hAnsi="Times New Roman" w:eastAsia="宋体" w:cstheme="minorEastAsia"/>
          <w:snapToGrid w:val="0"/>
          <w:color w:val="auto"/>
          <w:kern w:val="0"/>
          <w:szCs w:val="21"/>
          <w:lang w:bidi="ar"/>
        </w:rPr>
      </w:pPr>
      <w:r>
        <w:rPr>
          <w:rFonts w:hint="eastAsia" w:ascii="Times New Roman" w:hAnsi="Times New Roman" w:eastAsia="宋体" w:cstheme="minorEastAsia"/>
          <w:snapToGrid w:val="0"/>
          <w:color w:val="auto"/>
          <w:kern w:val="0"/>
          <w:szCs w:val="21"/>
          <w:lang w:bidi="ar"/>
        </w:rPr>
        <w:t>表1 我国药品不良反应关联性评价标准</w:t>
      </w:r>
    </w:p>
    <w:tbl>
      <w:tblPr>
        <w:tblStyle w:val="12"/>
        <w:tblW w:w="8266"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682"/>
        <w:gridCol w:w="1559"/>
        <w:gridCol w:w="1186"/>
        <w:gridCol w:w="1023"/>
        <w:gridCol w:w="1175"/>
      </w:tblGrid>
      <w:tr w14:paraId="7CA5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1" w:type="dxa"/>
            <w:vAlign w:val="center"/>
          </w:tcPr>
          <w:p w14:paraId="29894A41">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关联性评价</w:t>
            </w:r>
          </w:p>
        </w:tc>
        <w:tc>
          <w:tcPr>
            <w:tcW w:w="1682" w:type="dxa"/>
            <w:vAlign w:val="center"/>
          </w:tcPr>
          <w:p w14:paraId="5D1EF3BD">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时间相关性</w:t>
            </w:r>
          </w:p>
        </w:tc>
        <w:tc>
          <w:tcPr>
            <w:tcW w:w="1559" w:type="dxa"/>
            <w:vAlign w:val="center"/>
          </w:tcPr>
          <w:p w14:paraId="4EC80EE1">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是否已知</w:t>
            </w:r>
          </w:p>
        </w:tc>
        <w:tc>
          <w:tcPr>
            <w:tcW w:w="1186" w:type="dxa"/>
            <w:vAlign w:val="center"/>
          </w:tcPr>
          <w:p w14:paraId="087827AD">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去激发</w:t>
            </w:r>
          </w:p>
        </w:tc>
        <w:tc>
          <w:tcPr>
            <w:tcW w:w="1023" w:type="dxa"/>
            <w:vAlign w:val="center"/>
          </w:tcPr>
          <w:p w14:paraId="3056CBDF">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再激发</w:t>
            </w:r>
          </w:p>
        </w:tc>
        <w:tc>
          <w:tcPr>
            <w:tcW w:w="1175" w:type="dxa"/>
            <w:vAlign w:val="center"/>
          </w:tcPr>
          <w:p w14:paraId="7B7A365B">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其他解释</w:t>
            </w:r>
          </w:p>
        </w:tc>
      </w:tr>
      <w:tr w14:paraId="4E57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14:paraId="6DAE9E0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肯定</w:t>
            </w:r>
          </w:p>
        </w:tc>
        <w:tc>
          <w:tcPr>
            <w:tcW w:w="1682" w:type="dxa"/>
            <w:vAlign w:val="center"/>
          </w:tcPr>
          <w:p w14:paraId="00E5FC84">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559" w:type="dxa"/>
            <w:vAlign w:val="center"/>
          </w:tcPr>
          <w:p w14:paraId="3C3486C9">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86" w:type="dxa"/>
            <w:vAlign w:val="center"/>
          </w:tcPr>
          <w:p w14:paraId="76DCAC21">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023" w:type="dxa"/>
            <w:vAlign w:val="center"/>
          </w:tcPr>
          <w:p w14:paraId="2537C9D5">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75" w:type="dxa"/>
            <w:vAlign w:val="center"/>
          </w:tcPr>
          <w:p w14:paraId="1EEC8011">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395C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14:paraId="0EC86616">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很可能</w:t>
            </w:r>
          </w:p>
        </w:tc>
        <w:tc>
          <w:tcPr>
            <w:tcW w:w="1682" w:type="dxa"/>
            <w:vAlign w:val="center"/>
          </w:tcPr>
          <w:p w14:paraId="754D28AD">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559" w:type="dxa"/>
            <w:vAlign w:val="center"/>
          </w:tcPr>
          <w:p w14:paraId="74A3BDC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86" w:type="dxa"/>
            <w:vAlign w:val="center"/>
          </w:tcPr>
          <w:p w14:paraId="5D13EFCD">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023" w:type="dxa"/>
            <w:vAlign w:val="center"/>
          </w:tcPr>
          <w:p w14:paraId="6B147FB6">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75" w:type="dxa"/>
            <w:vAlign w:val="center"/>
          </w:tcPr>
          <w:p w14:paraId="5A7B204F">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4066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14:paraId="447F0853">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可能</w:t>
            </w:r>
          </w:p>
        </w:tc>
        <w:tc>
          <w:tcPr>
            <w:tcW w:w="1682" w:type="dxa"/>
            <w:vAlign w:val="center"/>
          </w:tcPr>
          <w:p w14:paraId="664F2C4A">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559" w:type="dxa"/>
            <w:vAlign w:val="center"/>
          </w:tcPr>
          <w:p w14:paraId="54B74A61">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86" w:type="dxa"/>
            <w:vAlign w:val="center"/>
          </w:tcPr>
          <w:p w14:paraId="68AF8600">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023" w:type="dxa"/>
            <w:vAlign w:val="center"/>
          </w:tcPr>
          <w:p w14:paraId="75E51CDF">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75" w:type="dxa"/>
            <w:vAlign w:val="center"/>
          </w:tcPr>
          <w:p w14:paraId="53CD85AF">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05A9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14:paraId="0B635C6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可能无关</w:t>
            </w:r>
          </w:p>
        </w:tc>
        <w:tc>
          <w:tcPr>
            <w:tcW w:w="1682" w:type="dxa"/>
            <w:vAlign w:val="center"/>
          </w:tcPr>
          <w:p w14:paraId="1152188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559" w:type="dxa"/>
            <w:vAlign w:val="center"/>
          </w:tcPr>
          <w:p w14:paraId="5E0806C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86" w:type="dxa"/>
            <w:vAlign w:val="center"/>
          </w:tcPr>
          <w:p w14:paraId="77D752D2">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023" w:type="dxa"/>
            <w:vAlign w:val="center"/>
          </w:tcPr>
          <w:p w14:paraId="24AC7BB5">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1175" w:type="dxa"/>
            <w:vAlign w:val="center"/>
          </w:tcPr>
          <w:p w14:paraId="5EFC7385">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7C2C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41" w:type="dxa"/>
            <w:vAlign w:val="center"/>
          </w:tcPr>
          <w:p w14:paraId="27879BCB">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待评价</w:t>
            </w:r>
          </w:p>
        </w:tc>
        <w:tc>
          <w:tcPr>
            <w:tcW w:w="6625" w:type="dxa"/>
            <w:gridSpan w:val="5"/>
            <w:vAlign w:val="center"/>
          </w:tcPr>
          <w:p w14:paraId="5ADB3CC8">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需要补充材料才能评价</w:t>
            </w:r>
          </w:p>
        </w:tc>
      </w:tr>
      <w:tr w14:paraId="168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41" w:type="dxa"/>
            <w:vAlign w:val="center"/>
          </w:tcPr>
          <w:p w14:paraId="5B7DCA54">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无法评价</w:t>
            </w:r>
          </w:p>
        </w:tc>
        <w:tc>
          <w:tcPr>
            <w:tcW w:w="6625" w:type="dxa"/>
            <w:gridSpan w:val="5"/>
            <w:vAlign w:val="center"/>
          </w:tcPr>
          <w:p w14:paraId="75472513">
            <w:pPr>
              <w:topLinePunct/>
              <w:adjustRightInd w:val="0"/>
              <w:snapToGrid w:val="0"/>
              <w:spacing w:line="360" w:lineRule="auto"/>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评价的必须资料无法获得</w:t>
            </w:r>
          </w:p>
        </w:tc>
      </w:tr>
      <w:tr w14:paraId="715D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66" w:type="dxa"/>
            <w:gridSpan w:val="6"/>
            <w:vAlign w:val="center"/>
          </w:tcPr>
          <w:p w14:paraId="017EB617">
            <w:pPr>
              <w:topLinePunct/>
              <w:adjustRightInd w:val="0"/>
              <w:snapToGrid w:val="0"/>
              <w:spacing w:line="360" w:lineRule="auto"/>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仿宋"/>
                <w:snapToGrid w:val="0"/>
                <w:color w:val="auto"/>
                <w:kern w:val="0"/>
                <w:sz w:val="18"/>
                <w:szCs w:val="18"/>
                <w:lang w:bidi="ar"/>
              </w:rPr>
              <w:t>注：1.＋表示肯定或阳性；－表示否定或阴性；±表示难以判断；？表示不明。</w:t>
            </w:r>
          </w:p>
        </w:tc>
      </w:tr>
    </w:tbl>
    <w:p w14:paraId="00FBABED">
      <w:pPr>
        <w:topLinePunct/>
        <w:adjustRightInd w:val="0"/>
        <w:snapToGrid w:val="0"/>
        <w:spacing w:before="156" w:beforeLines="50" w:line="360" w:lineRule="auto"/>
        <w:ind w:firstLine="482"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关联性评价原则：</w:t>
      </w:r>
    </w:p>
    <w:p w14:paraId="3CC4787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时间相关性：用药与不良反应/事件的出现有无合理的时间关系。用药与不良反应/事件首次出现的时间间隔应合理，应充分考虑不良反应/事件的特点、药代动力学参数等因素。需注意长期用药后，以及在撤药后才出现的反应。</w:t>
      </w:r>
    </w:p>
    <w:p w14:paraId="77FD06A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是否已知：反应是否符合该药已知的不良反应/事件类型，即是否为药品说明书中载明的不良反应。</w:t>
      </w:r>
    </w:p>
    <w:p w14:paraId="6BB4607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去激发：停药或减量后，反应/事件是否消失或减轻。停药或减量后反应未减轻，也不能简单地判定与药物无关，应考虑不良反应/事件是否已造成组织损伤，或造成不可逆的损伤。如未停药，反应已经好转，应排除是否存在耐受，是否同时使用了减轻症状的药物。</w:t>
      </w:r>
    </w:p>
    <w:p w14:paraId="4320AD8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再激发：再次使用可疑药品时是否再次出现同样反应/事件。应根据有关药物的药动学参数，停药的时间应长于药品不良反应/事件好转的时间。可能存在初次使用让身体致敏但无症状，再次使用出现过敏症状的现象。或致敏物耗竭类型（初次出现反应，再次使用却不出现）反应/事件的可能性。同时使用两种药物产生</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，中断两种药物，不良反应/事件好转或消失后，再次使用其中一种药物未发生不良反应/事件，不能判定不良反应/事件是另一药引起的。</w:t>
      </w:r>
    </w:p>
    <w:p w14:paraId="73A8296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其他解释：不良反应/事件是否可用并用药的作用、患者病情的进展、其他治疗的影响来解释。应首先排除</w:t>
      </w:r>
      <w:r>
        <w:rPr>
          <w:rFonts w:hint="eastAsia" w:ascii="Times New Roman" w:hAnsi="Times New Roman" w:eastAsia="宋体" w:cstheme="minorEastAsia"/>
          <w:snapToGrid w:val="0"/>
          <w:color w:val="auto"/>
          <w:kern w:val="0"/>
          <w:sz w:val="24"/>
          <w:lang w:eastAsia="zh-CN" w:bidi="ar"/>
        </w:rPr>
        <w:t>患者</w:t>
      </w:r>
      <w:r>
        <w:rPr>
          <w:rFonts w:hint="eastAsia" w:ascii="Times New Roman" w:hAnsi="Times New Roman" w:eastAsia="宋体" w:cstheme="minorEastAsia"/>
          <w:snapToGrid w:val="0"/>
          <w:color w:val="auto"/>
          <w:kern w:val="0"/>
          <w:sz w:val="24"/>
          <w:lang w:bidi="ar"/>
        </w:rPr>
        <w:t>原患疾病或原先有的其他疾病变化及其并发症引起的可能性后，再考虑药物引发的不良反应/事件。注意是否存在不合理用药的情况。注意出现除原患疾病外的疾病治疗时新增药物与原有的治疗药物发生的不良相互作用。</w:t>
      </w:r>
    </w:p>
    <w:p w14:paraId="1D77775D">
      <w:pPr>
        <w:topLinePunct/>
        <w:adjustRightInd w:val="0"/>
        <w:snapToGrid w:val="0"/>
        <w:spacing w:line="360" w:lineRule="auto"/>
        <w:ind w:firstLine="482"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对原患疾病的影响</w:t>
      </w:r>
      <w:r>
        <w:rPr>
          <w:rFonts w:hint="eastAsia" w:ascii="Times New Roman" w:hAnsi="Times New Roman" w:eastAsia="宋体" w:cstheme="minorEastAsia"/>
          <w:snapToGrid w:val="0"/>
          <w:color w:val="auto"/>
          <w:kern w:val="0"/>
          <w:sz w:val="24"/>
          <w:lang w:bidi="ar"/>
        </w:rPr>
        <w:t>，若勾选病程延长、病情加重、导致后遗症、导致死亡应与报告类型一致（严重）。</w:t>
      </w:r>
    </w:p>
    <w:p w14:paraId="4AD0344C">
      <w:pPr>
        <w:topLinePunct/>
        <w:adjustRightInd w:val="0"/>
        <w:snapToGrid w:val="0"/>
        <w:spacing w:line="360" w:lineRule="auto"/>
        <w:ind w:firstLine="482"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关联性评价分级标准：</w:t>
      </w:r>
    </w:p>
    <w:p w14:paraId="4275944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肯定：用药与不良反应的发生存在合理的时间关系；停药后反应消失或迅速减轻及好转（即去激发阳性）；再次用药不良反应再次出现（即再激发阳性），并可能明显加重；同时有说明书或文献资料佐证；并已排除原患疾病等其他混杂因素影响。当报告人评价为“肯定”时，应在不良反应/事件过程描述中对再激发试验阳性作详细说明。</w:t>
      </w:r>
    </w:p>
    <w:p w14:paraId="4BD9E73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很可能：无重复用药史，余同“肯定”，或虽然有合并用药，但基本可排除合并用药导致不良反应发生的可能性。</w:t>
      </w:r>
    </w:p>
    <w:p w14:paraId="5583DEC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可能：用药与反应发生时间关系密切，同时有文献资料佐证；但引发不良反应的药品不止一种，或不能排除原患疾病病情进展因素。</w:t>
      </w:r>
    </w:p>
    <w:p w14:paraId="274AFDA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可能无关：不良反应与用药时间相关性不密切，临床表现与该药已知的不良反应不相吻合，原患疾病发展同样可能有类似的临床表现。</w:t>
      </w:r>
    </w:p>
    <w:p w14:paraId="49746BE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待评价：报表内容填写不齐全，等待补充后再评价，或因果关系难以定论，缺乏文献资料佐证。</w:t>
      </w:r>
    </w:p>
    <w:p w14:paraId="38CE8F7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无法评价：报表缺项太多，因果关系难以定论，资料又无法补充。</w:t>
      </w:r>
    </w:p>
    <w:p w14:paraId="55BA4164">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7" w:name="_Toc20336"/>
      <w:r>
        <w:rPr>
          <w:rFonts w:hint="eastAsia" w:ascii="Times New Roman" w:hAnsi="Times New Roman" w:eastAsia="宋体" w:cstheme="minorEastAsia"/>
          <w:b/>
          <w:bCs/>
          <w:snapToGrid w:val="0"/>
          <w:color w:val="auto"/>
          <w:kern w:val="0"/>
          <w:sz w:val="24"/>
          <w:lang w:bidi="ar"/>
        </w:rPr>
        <w:t>4.3.6报告人信息</w:t>
      </w:r>
      <w:bookmarkEnd w:id="237"/>
    </w:p>
    <w:p w14:paraId="0E6D73C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报告人信息（图14）应如实填写。当职业勾选“其他”时，需要输入职业名称（图15）。填写电子邮箱时，格式必须正确，如12345678@163.com。签名应与关联性评价报告中的报告人签名保持一致。</w:t>
      </w:r>
    </w:p>
    <w:p w14:paraId="3ED470CF">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1391920"/>
            <wp:effectExtent l="0" t="0" r="11430" b="177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3"/>
                    <a:stretch>
                      <a:fillRect/>
                    </a:stretch>
                  </pic:blipFill>
                  <pic:spPr>
                    <a:xfrm>
                      <a:off x="0" y="0"/>
                      <a:ext cx="4960620" cy="1391920"/>
                    </a:xfrm>
                    <a:prstGeom prst="rect">
                      <a:avLst/>
                    </a:prstGeom>
                    <a:noFill/>
                    <a:ln>
                      <a:noFill/>
                    </a:ln>
                  </pic:spPr>
                </pic:pic>
              </a:graphicData>
            </a:graphic>
          </wp:inline>
        </w:drawing>
      </w:r>
    </w:p>
    <w:p w14:paraId="26254FC2">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图14 报告人信息</w:t>
      </w:r>
    </w:p>
    <w:p w14:paraId="2286ED18">
      <w:pPr>
        <w:topLinePunct/>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887095"/>
            <wp:effectExtent l="0" t="0" r="11430" b="825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24"/>
                    <a:stretch>
                      <a:fillRect/>
                    </a:stretch>
                  </pic:blipFill>
                  <pic:spPr>
                    <a:xfrm>
                      <a:off x="0" y="0"/>
                      <a:ext cx="4960620" cy="887095"/>
                    </a:xfrm>
                    <a:prstGeom prst="rect">
                      <a:avLst/>
                    </a:prstGeom>
                    <a:noFill/>
                    <a:ln>
                      <a:noFill/>
                    </a:ln>
                  </pic:spPr>
                </pic:pic>
              </a:graphicData>
            </a:graphic>
          </wp:inline>
        </w:drawing>
      </w:r>
    </w:p>
    <w:p w14:paraId="7D92F47C">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图15 报告人职业</w:t>
      </w:r>
    </w:p>
    <w:p w14:paraId="5444435A">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4.3.7 报告单位信息</w:t>
      </w:r>
    </w:p>
    <w:p w14:paraId="37C4CCE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单位名称、联系人、电话为默认信息。当联系人和/或电话变更时，可在图2处点击“修改用户信息”，进入图17处填写必要信息，点击“修改”即可。</w:t>
      </w:r>
    </w:p>
    <w:p w14:paraId="6EFD9C47">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865505"/>
            <wp:effectExtent l="0" t="0" r="11430" b="1079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25"/>
                    <a:stretch>
                      <a:fillRect/>
                    </a:stretch>
                  </pic:blipFill>
                  <pic:spPr>
                    <a:xfrm>
                      <a:off x="0" y="0"/>
                      <a:ext cx="4960620" cy="865505"/>
                    </a:xfrm>
                    <a:prstGeom prst="rect">
                      <a:avLst/>
                    </a:prstGeom>
                    <a:noFill/>
                    <a:ln>
                      <a:noFill/>
                    </a:ln>
                  </pic:spPr>
                </pic:pic>
              </a:graphicData>
            </a:graphic>
          </wp:inline>
        </w:drawing>
      </w:r>
    </w:p>
    <w:p w14:paraId="088C21F7">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图16 报告单位信息</w:t>
      </w:r>
    </w:p>
    <w:p w14:paraId="4B8793E3">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2749550"/>
            <wp:effectExtent l="0" t="0" r="11430" b="1270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26"/>
                    <a:stretch>
                      <a:fillRect/>
                    </a:stretch>
                  </pic:blipFill>
                  <pic:spPr>
                    <a:xfrm>
                      <a:off x="0" y="0"/>
                      <a:ext cx="4960620" cy="2749550"/>
                    </a:xfrm>
                    <a:prstGeom prst="rect">
                      <a:avLst/>
                    </a:prstGeom>
                    <a:noFill/>
                    <a:ln>
                      <a:noFill/>
                    </a:ln>
                  </pic:spPr>
                </pic:pic>
              </a:graphicData>
            </a:graphic>
          </wp:inline>
        </w:drawing>
      </w:r>
    </w:p>
    <w:p w14:paraId="181E1FCA">
      <w:pPr>
        <w:topLinePunct/>
        <w:autoSpaceDE w:val="0"/>
        <w:autoSpaceDN w:val="0"/>
        <w:adjustRightInd w:val="0"/>
        <w:snapToGrid w:val="0"/>
        <w:jc w:val="center"/>
        <w:rPr>
          <w:rFonts w:ascii="Times New Roman" w:hAnsi="Times New Roman"/>
          <w:color w:val="auto"/>
          <w:sz w:val="18"/>
          <w:szCs w:val="18"/>
        </w:rPr>
      </w:pPr>
      <w:r>
        <w:rPr>
          <w:rFonts w:hint="eastAsia" w:ascii="Times New Roman" w:hAnsi="Times New Roman"/>
          <w:color w:val="auto"/>
          <w:sz w:val="18"/>
          <w:szCs w:val="18"/>
        </w:rPr>
        <w:t>图17 修改用户信息</w:t>
      </w:r>
    </w:p>
    <w:p w14:paraId="72F2FBA7">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4.3.8 备注</w:t>
      </w:r>
    </w:p>
    <w:p w14:paraId="3D739B29">
      <w:pPr>
        <w:topLinePunct/>
        <w:adjustRightInd w:val="0"/>
        <w:snapToGrid w:val="0"/>
        <w:spacing w:line="360" w:lineRule="auto"/>
        <w:ind w:firstLine="480"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snapToGrid w:val="0"/>
          <w:color w:val="auto"/>
          <w:kern w:val="0"/>
          <w:sz w:val="24"/>
          <w:lang w:bidi="ar"/>
        </w:rPr>
        <w:t>备注中可填写以下信息：（1）报告人可在备注中描述关联性评价的基本思路；（2）部分不良反应发生时间按获知时间推算的，可在备注中说明获知的具体日期；（3）部分信息缺失的（如厂家、生产批号），可在备注中说明原因；（4）不良反应/事件结果勾选“不详”可在备注中说明原因；（5）其他可能需要完善的药品信息，如怀疑用药的规格、含量、辅料、执行标准等。</w:t>
      </w:r>
    </w:p>
    <w:p w14:paraId="524D490A">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1125220"/>
            <wp:effectExtent l="0" t="0" r="11430" b="1778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27"/>
                    <a:stretch>
                      <a:fillRect/>
                    </a:stretch>
                  </pic:blipFill>
                  <pic:spPr>
                    <a:xfrm>
                      <a:off x="0" y="0"/>
                      <a:ext cx="4960620" cy="1125220"/>
                    </a:xfrm>
                    <a:prstGeom prst="rect">
                      <a:avLst/>
                    </a:prstGeom>
                    <a:noFill/>
                    <a:ln>
                      <a:noFill/>
                    </a:ln>
                  </pic:spPr>
                </pic:pic>
              </a:graphicData>
            </a:graphic>
          </wp:inline>
        </w:drawing>
      </w:r>
    </w:p>
    <w:p w14:paraId="1CDEF15C">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图18 备注</w:t>
      </w:r>
    </w:p>
    <w:p w14:paraId="7811833F">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8" w:name="_Toc12046"/>
      <w:r>
        <w:rPr>
          <w:rFonts w:hint="eastAsia" w:ascii="Times New Roman" w:hAnsi="Times New Roman" w:eastAsia="宋体" w:cstheme="minorEastAsia"/>
          <w:b/>
          <w:bCs/>
          <w:snapToGrid w:val="0"/>
          <w:color w:val="auto"/>
          <w:kern w:val="0"/>
          <w:sz w:val="24"/>
          <w:lang w:bidi="ar"/>
        </w:rPr>
        <w:t>4.3.9 上传附件</w:t>
      </w:r>
    </w:p>
    <w:p w14:paraId="665C2DDD">
      <w:pPr>
        <w:topLinePunct/>
        <w:adjustRightInd w:val="0"/>
        <w:snapToGrid w:val="0"/>
        <w:spacing w:line="360" w:lineRule="auto"/>
        <w:ind w:firstLine="480" w:firstLineChars="200"/>
        <w:outlineLvl w:val="2"/>
        <w:rPr>
          <w:rFonts w:ascii="Times New Roman" w:hAnsi="Times New Roman"/>
          <w:color w:val="auto"/>
        </w:rPr>
      </w:pPr>
      <w:r>
        <w:rPr>
          <w:rFonts w:hint="eastAsia" w:ascii="Times New Roman" w:hAnsi="Times New Roman" w:eastAsia="宋体" w:cstheme="minorEastAsia"/>
          <w:snapToGrid w:val="0"/>
          <w:color w:val="auto"/>
          <w:kern w:val="0"/>
          <w:sz w:val="24"/>
          <w:lang w:bidi="ar"/>
        </w:rPr>
        <w:t>点击图19中的“上传附件”按钮，进入图20界面，完善相关信息后，点击保存即可。摘要中可简要描述上传附件内容。</w:t>
      </w:r>
    </w:p>
    <w:p w14:paraId="1C77EAB1">
      <w:pPr>
        <w:topLinePunct/>
        <w:autoSpaceDE w:val="0"/>
        <w:autoSpaceDN w:val="0"/>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60620" cy="1610360"/>
            <wp:effectExtent l="0" t="0" r="11430" b="889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28"/>
                    <a:stretch>
                      <a:fillRect/>
                    </a:stretch>
                  </pic:blipFill>
                  <pic:spPr>
                    <a:xfrm>
                      <a:off x="0" y="0"/>
                      <a:ext cx="4960620" cy="1610360"/>
                    </a:xfrm>
                    <a:prstGeom prst="rect">
                      <a:avLst/>
                    </a:prstGeom>
                    <a:noFill/>
                    <a:ln>
                      <a:noFill/>
                    </a:ln>
                  </pic:spPr>
                </pic:pic>
              </a:graphicData>
            </a:graphic>
          </wp:inline>
        </w:drawing>
      </w:r>
    </w:p>
    <w:p w14:paraId="1764F577">
      <w:pPr>
        <w:topLinePunct/>
        <w:autoSpaceDE w:val="0"/>
        <w:autoSpaceDN w:val="0"/>
        <w:adjustRightInd w:val="0"/>
        <w:snapToGrid w:val="0"/>
        <w:jc w:val="center"/>
        <w:outlineLvl w:val="2"/>
        <w:rPr>
          <w:rFonts w:ascii="Times New Roman" w:hAnsi="Times New Roman"/>
          <w:color w:val="auto"/>
          <w:sz w:val="18"/>
          <w:szCs w:val="18"/>
        </w:rPr>
      </w:pPr>
      <w:r>
        <w:rPr>
          <w:rFonts w:hint="eastAsia" w:ascii="Times New Roman" w:hAnsi="Times New Roman"/>
          <w:color w:val="auto"/>
          <w:sz w:val="18"/>
          <w:szCs w:val="18"/>
        </w:rPr>
        <w:t>图19 上传附件1</w:t>
      </w:r>
    </w:p>
    <w:p w14:paraId="504D5198">
      <w:pPr>
        <w:topLinePunct/>
        <w:autoSpaceDE w:val="0"/>
        <w:autoSpaceDN w:val="0"/>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60620" cy="3132455"/>
            <wp:effectExtent l="0" t="0" r="11430" b="1079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29"/>
                    <a:stretch>
                      <a:fillRect/>
                    </a:stretch>
                  </pic:blipFill>
                  <pic:spPr>
                    <a:xfrm>
                      <a:off x="0" y="0"/>
                      <a:ext cx="4960620" cy="3132455"/>
                    </a:xfrm>
                    <a:prstGeom prst="rect">
                      <a:avLst/>
                    </a:prstGeom>
                    <a:noFill/>
                    <a:ln>
                      <a:noFill/>
                    </a:ln>
                  </pic:spPr>
                </pic:pic>
              </a:graphicData>
            </a:graphic>
          </wp:inline>
        </w:drawing>
      </w:r>
    </w:p>
    <w:p w14:paraId="01B017BD">
      <w:pPr>
        <w:topLinePunct/>
        <w:autoSpaceDE w:val="0"/>
        <w:autoSpaceDN w:val="0"/>
        <w:adjustRightInd w:val="0"/>
        <w:snapToGrid w:val="0"/>
        <w:jc w:val="center"/>
        <w:outlineLvl w:val="2"/>
        <w:rPr>
          <w:rFonts w:ascii="Times New Roman" w:hAnsi="Times New Roman"/>
          <w:color w:val="auto"/>
          <w:sz w:val="18"/>
          <w:szCs w:val="18"/>
        </w:rPr>
      </w:pPr>
      <w:r>
        <w:rPr>
          <w:rFonts w:hint="eastAsia" w:ascii="Times New Roman" w:hAnsi="Times New Roman"/>
          <w:color w:val="auto"/>
          <w:sz w:val="18"/>
          <w:szCs w:val="18"/>
        </w:rPr>
        <w:t>图20 上传附件2</w:t>
      </w:r>
    </w:p>
    <w:bookmarkEnd w:id="238"/>
    <w:p w14:paraId="7E92B71E">
      <w:pPr>
        <w:topLinePunct/>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39" w:name="_Toc15734"/>
      <w:r>
        <w:rPr>
          <w:rFonts w:hint="eastAsia" w:ascii="Times New Roman" w:hAnsi="Times New Roman" w:eastAsia="宋体" w:cstheme="minorEastAsia"/>
          <w:b/>
          <w:bCs/>
          <w:snapToGrid w:val="0"/>
          <w:color w:val="auto"/>
          <w:kern w:val="0"/>
          <w:sz w:val="24"/>
          <w:lang w:bidi="ar"/>
        </w:rPr>
        <w:t xml:space="preserve">4.3.10 </w:t>
      </w:r>
      <w:bookmarkEnd w:id="239"/>
      <w:r>
        <w:rPr>
          <w:rFonts w:hint="eastAsia" w:ascii="Times New Roman" w:hAnsi="Times New Roman" w:eastAsia="宋体" w:cstheme="minorEastAsia"/>
          <w:b/>
          <w:bCs/>
          <w:snapToGrid w:val="0"/>
          <w:color w:val="auto"/>
          <w:kern w:val="0"/>
          <w:sz w:val="24"/>
          <w:lang w:bidi="ar"/>
        </w:rPr>
        <w:t>参考报告</w:t>
      </w:r>
    </w:p>
    <w:p w14:paraId="37057C18">
      <w:pPr>
        <w:topLinePunct/>
        <w:adjustRightInd w:val="0"/>
        <w:snapToGrid w:val="0"/>
        <w:spacing w:line="360" w:lineRule="auto"/>
        <w:ind w:firstLine="480" w:firstLineChars="200"/>
        <w:outlineLvl w:val="2"/>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填报相似的或大部分信息相同的不良反应/事件，可进入参考报告填写。如同一患者使用相同药品后，在不同的时间出现不良反应。如同一药品在某一时段内出现多例相似的不良反应。图21界面点击“参考报告”，进入图22选择某一原始报告，进入首次报告界面后，修改部分信息后保存即可。填报时应仔细核对患者信息、时间，避免重复报告。提交报告后，会产生新的报告表编码和国家中心接收时间。</w:t>
      </w:r>
    </w:p>
    <w:p w14:paraId="25F9A017">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3858260" cy="1552575"/>
            <wp:effectExtent l="0" t="0" r="8890" b="9525"/>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30"/>
                    <a:stretch>
                      <a:fillRect/>
                    </a:stretch>
                  </pic:blipFill>
                  <pic:spPr>
                    <a:xfrm>
                      <a:off x="0" y="0"/>
                      <a:ext cx="3858260" cy="1552575"/>
                    </a:xfrm>
                    <a:prstGeom prst="rect">
                      <a:avLst/>
                    </a:prstGeom>
                    <a:noFill/>
                    <a:ln>
                      <a:noFill/>
                    </a:ln>
                  </pic:spPr>
                </pic:pic>
              </a:graphicData>
            </a:graphic>
          </wp:inline>
        </w:drawing>
      </w:r>
    </w:p>
    <w:p w14:paraId="4273222D">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图21 参考报告1</w:t>
      </w:r>
    </w:p>
    <w:p w14:paraId="18A777A4">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2205990"/>
            <wp:effectExtent l="0" t="0" r="11430" b="381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31"/>
                    <a:stretch>
                      <a:fillRect/>
                    </a:stretch>
                  </pic:blipFill>
                  <pic:spPr>
                    <a:xfrm>
                      <a:off x="0" y="0"/>
                      <a:ext cx="4960620" cy="2205990"/>
                    </a:xfrm>
                    <a:prstGeom prst="rect">
                      <a:avLst/>
                    </a:prstGeom>
                    <a:noFill/>
                    <a:ln>
                      <a:noFill/>
                    </a:ln>
                  </pic:spPr>
                </pic:pic>
              </a:graphicData>
            </a:graphic>
          </wp:inline>
        </w:drawing>
      </w:r>
    </w:p>
    <w:p w14:paraId="12A46C02">
      <w:pPr>
        <w:topLinePunct/>
        <w:autoSpaceDE w:val="0"/>
        <w:autoSpaceDN w:val="0"/>
        <w:adjustRightInd w:val="0"/>
        <w:snapToGrid w:val="0"/>
        <w:jc w:val="center"/>
        <w:rPr>
          <w:rFonts w:ascii="Times New Roman" w:hAnsi="Times New Roman"/>
          <w:color w:val="auto"/>
          <w:sz w:val="18"/>
          <w:szCs w:val="18"/>
        </w:rPr>
      </w:pPr>
      <w:r>
        <w:rPr>
          <w:rFonts w:hint="eastAsia" w:ascii="Times New Roman" w:hAnsi="Times New Roman"/>
          <w:color w:val="auto"/>
          <w:sz w:val="18"/>
          <w:szCs w:val="18"/>
        </w:rPr>
        <w:t>图22 参考报告2</w:t>
      </w:r>
    </w:p>
    <w:p w14:paraId="11B7CCB9">
      <w:pPr>
        <w:topLinePunct/>
        <w:autoSpaceDE w:val="0"/>
        <w:autoSpaceDN w:val="0"/>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40" w:name="_Toc870"/>
      <w:r>
        <w:rPr>
          <w:rFonts w:hint="eastAsia" w:ascii="Times New Roman" w:hAnsi="Times New Roman" w:eastAsia="宋体" w:cstheme="minorEastAsia"/>
          <w:b/>
          <w:bCs/>
          <w:snapToGrid w:val="0"/>
          <w:color w:val="auto"/>
          <w:kern w:val="0"/>
          <w:sz w:val="24"/>
          <w:lang w:bidi="ar"/>
        </w:rPr>
        <w:t>4.3.11 暂存报告</w:t>
      </w:r>
      <w:bookmarkEnd w:id="240"/>
    </w:p>
    <w:p w14:paraId="6917F544">
      <w:pPr>
        <w:topLinePunct/>
        <w:autoSpaceDE w:val="0"/>
        <w:autoSpaceDN w:val="0"/>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在填报不良反应/事件时，填报部分内容后可进行暂存，避免因各种原因导致已填报内容丢失。填报过程中可点击图21中“暂存”，即可保存当前已经填报信息。若需继续填写，可在图23中点击“暂存报告”，查询到相关报告后，点击“编辑”即可。</w:t>
      </w:r>
    </w:p>
    <w:p w14:paraId="1EC29F7D">
      <w:pPr>
        <w:topLinePunct/>
        <w:autoSpaceDE w:val="0"/>
        <w:autoSpaceDN w:val="0"/>
        <w:adjustRightInd w:val="0"/>
        <w:snapToGrid w:val="0"/>
        <w:jc w:val="center"/>
        <w:rPr>
          <w:rFonts w:ascii="Times New Roman" w:hAnsi="Times New Roman"/>
          <w:color w:val="auto"/>
        </w:rPr>
      </w:pPr>
      <w:r>
        <w:rPr>
          <w:rFonts w:ascii="Times New Roman" w:hAnsi="Times New Roman"/>
          <w:color w:val="auto"/>
        </w:rPr>
        <w:drawing>
          <wp:inline distT="0" distB="0" distL="114300" distR="114300">
            <wp:extent cx="4960620" cy="1764030"/>
            <wp:effectExtent l="0" t="0" r="11430" b="762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32"/>
                    <a:stretch>
                      <a:fillRect/>
                    </a:stretch>
                  </pic:blipFill>
                  <pic:spPr>
                    <a:xfrm>
                      <a:off x="0" y="0"/>
                      <a:ext cx="4960620" cy="1764030"/>
                    </a:xfrm>
                    <a:prstGeom prst="rect">
                      <a:avLst/>
                    </a:prstGeom>
                    <a:noFill/>
                    <a:ln>
                      <a:noFill/>
                    </a:ln>
                  </pic:spPr>
                </pic:pic>
              </a:graphicData>
            </a:graphic>
          </wp:inline>
        </w:drawing>
      </w:r>
    </w:p>
    <w:p w14:paraId="7D4957DC">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图23 暂存报告</w:t>
      </w:r>
    </w:p>
    <w:p w14:paraId="76C78C32">
      <w:pPr>
        <w:topLinePunct/>
        <w:autoSpaceDE w:val="0"/>
        <w:autoSpaceDN w:val="0"/>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41" w:name="_Toc14712"/>
      <w:r>
        <w:rPr>
          <w:rFonts w:hint="eastAsia" w:ascii="Times New Roman" w:hAnsi="Times New Roman" w:eastAsia="宋体" w:cstheme="minorEastAsia"/>
          <w:b/>
          <w:bCs/>
          <w:snapToGrid w:val="0"/>
          <w:color w:val="auto"/>
          <w:kern w:val="0"/>
          <w:sz w:val="24"/>
          <w:lang w:bidi="ar"/>
        </w:rPr>
        <w:t>4.3.12 提交报告</w:t>
      </w:r>
      <w:bookmarkEnd w:id="241"/>
    </w:p>
    <w:p w14:paraId="102BEF79">
      <w:pPr>
        <w:topLinePunct/>
        <w:autoSpaceDE w:val="0"/>
        <w:autoSpaceDN w:val="0"/>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不良反应/事件报告内容填报完成后，点击图21中“提交”。若有必填内容未填或出现逻辑问题，会出现“请修改以下字段”对话框，报表中也会</w:t>
      </w:r>
      <w:r>
        <w:rPr>
          <w:rFonts w:hint="eastAsia" w:ascii="Times New Roman" w:hAnsi="Times New Roman" w:eastAsia="宋体" w:cstheme="minorEastAsia"/>
          <w:snapToGrid w:val="0"/>
          <w:color w:val="auto"/>
          <w:kern w:val="0"/>
          <w:sz w:val="24"/>
          <w:lang w:val="en-US" w:eastAsia="zh-CN" w:bidi="ar"/>
        </w:rPr>
        <w:t>有</w:t>
      </w:r>
      <w:r>
        <w:rPr>
          <w:rFonts w:hint="eastAsia" w:ascii="Times New Roman" w:hAnsi="Times New Roman" w:eastAsia="宋体" w:cstheme="minorEastAsia"/>
          <w:snapToGrid w:val="0"/>
          <w:color w:val="auto"/>
          <w:kern w:val="0"/>
          <w:sz w:val="24"/>
          <w:lang w:bidi="ar"/>
        </w:rPr>
        <w:t>红框提示，完成或修改后才能成功提交。</w:t>
      </w:r>
    </w:p>
    <w:p w14:paraId="762E7B5A">
      <w:pPr>
        <w:topLinePunct/>
        <w:autoSpaceDE w:val="0"/>
        <w:autoSpaceDN w:val="0"/>
        <w:adjustRightInd w:val="0"/>
        <w:snapToGrid w:val="0"/>
        <w:spacing w:line="360" w:lineRule="auto"/>
        <w:outlineLvl w:val="2"/>
        <w:rPr>
          <w:rFonts w:ascii="Times New Roman" w:hAnsi="Times New Roman" w:eastAsia="宋体" w:cstheme="minorEastAsia"/>
          <w:b/>
          <w:bCs/>
          <w:snapToGrid w:val="0"/>
          <w:color w:val="auto"/>
          <w:kern w:val="0"/>
          <w:sz w:val="24"/>
          <w:lang w:bidi="ar"/>
        </w:rPr>
      </w:pPr>
      <w:bookmarkStart w:id="242" w:name="_Toc29647"/>
      <w:r>
        <w:rPr>
          <w:rFonts w:hint="eastAsia" w:ascii="Times New Roman" w:hAnsi="Times New Roman" w:eastAsia="宋体" w:cstheme="minorEastAsia"/>
          <w:b/>
          <w:bCs/>
          <w:snapToGrid w:val="0"/>
          <w:color w:val="auto"/>
          <w:kern w:val="0"/>
          <w:sz w:val="24"/>
          <w:lang w:bidi="ar"/>
        </w:rPr>
        <w:t>4.3.13 修改完善，无效/重复报告检索</w:t>
      </w:r>
      <w:bookmarkEnd w:id="242"/>
    </w:p>
    <w:p w14:paraId="075DEB65">
      <w:pPr>
        <w:topLinePunct/>
        <w:autoSpaceDE w:val="0"/>
        <w:autoSpaceDN w:val="0"/>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修改完善一般是根据上级要求进行完善（图24）。</w:t>
      </w:r>
    </w:p>
    <w:p w14:paraId="4AEEEEA3">
      <w:pPr>
        <w:topLinePunct/>
        <w:autoSpaceDE w:val="0"/>
        <w:autoSpaceDN w:val="0"/>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无效/重复报告检索可输入相应条件进行查询（图25）。</w:t>
      </w:r>
    </w:p>
    <w:p w14:paraId="189B5179">
      <w:pPr>
        <w:topLinePunct/>
        <w:autoSpaceDE w:val="0"/>
        <w:autoSpaceDN w:val="0"/>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60620" cy="1755140"/>
            <wp:effectExtent l="0" t="0" r="11430" b="1651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33"/>
                    <a:stretch>
                      <a:fillRect/>
                    </a:stretch>
                  </pic:blipFill>
                  <pic:spPr>
                    <a:xfrm>
                      <a:off x="0" y="0"/>
                      <a:ext cx="4960620" cy="1755140"/>
                    </a:xfrm>
                    <a:prstGeom prst="rect">
                      <a:avLst/>
                    </a:prstGeom>
                    <a:noFill/>
                    <a:ln>
                      <a:noFill/>
                    </a:ln>
                  </pic:spPr>
                </pic:pic>
              </a:graphicData>
            </a:graphic>
          </wp:inline>
        </w:drawing>
      </w:r>
    </w:p>
    <w:p w14:paraId="5E568787">
      <w:pPr>
        <w:topLinePunct/>
        <w:autoSpaceDE w:val="0"/>
        <w:autoSpaceDN w:val="0"/>
        <w:adjustRightInd w:val="0"/>
        <w:snapToGrid w:val="0"/>
        <w:jc w:val="center"/>
        <w:rPr>
          <w:rFonts w:ascii="Times New Roman" w:hAnsi="Times New Roman"/>
          <w:color w:val="auto"/>
          <w:sz w:val="18"/>
          <w:szCs w:val="18"/>
        </w:rPr>
      </w:pPr>
      <w:r>
        <w:rPr>
          <w:rFonts w:hint="eastAsia" w:ascii="Times New Roman" w:hAnsi="Times New Roman"/>
          <w:color w:val="auto"/>
          <w:sz w:val="18"/>
          <w:szCs w:val="18"/>
        </w:rPr>
        <w:t>图24 修改报告</w:t>
      </w:r>
    </w:p>
    <w:p w14:paraId="663389A4">
      <w:pPr>
        <w:topLinePunct/>
        <w:autoSpaceDE w:val="0"/>
        <w:autoSpaceDN w:val="0"/>
        <w:adjustRightInd w:val="0"/>
        <w:snapToGrid w:val="0"/>
        <w:jc w:val="center"/>
        <w:outlineLvl w:val="2"/>
        <w:rPr>
          <w:rFonts w:ascii="Times New Roman" w:hAnsi="Times New Roman"/>
          <w:color w:val="auto"/>
        </w:rPr>
      </w:pPr>
      <w:r>
        <w:rPr>
          <w:rFonts w:ascii="Times New Roman" w:hAnsi="Times New Roman"/>
          <w:color w:val="auto"/>
        </w:rPr>
        <w:drawing>
          <wp:inline distT="0" distB="0" distL="114300" distR="114300">
            <wp:extent cx="4932045" cy="1988820"/>
            <wp:effectExtent l="0" t="0" r="1905" b="1143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34"/>
                    <a:stretch>
                      <a:fillRect/>
                    </a:stretch>
                  </pic:blipFill>
                  <pic:spPr>
                    <a:xfrm>
                      <a:off x="0" y="0"/>
                      <a:ext cx="4932045" cy="1988820"/>
                    </a:xfrm>
                    <a:prstGeom prst="rect">
                      <a:avLst/>
                    </a:prstGeom>
                    <a:noFill/>
                    <a:ln>
                      <a:noFill/>
                    </a:ln>
                  </pic:spPr>
                </pic:pic>
              </a:graphicData>
            </a:graphic>
          </wp:inline>
        </w:drawing>
      </w:r>
    </w:p>
    <w:p w14:paraId="0FE3EE9C">
      <w:pPr>
        <w:topLinePunct/>
        <w:autoSpaceDE w:val="0"/>
        <w:autoSpaceDN w:val="0"/>
        <w:adjustRightInd w:val="0"/>
        <w:snapToGrid w:val="0"/>
        <w:spacing w:line="360" w:lineRule="auto"/>
        <w:jc w:val="center"/>
        <w:rPr>
          <w:rFonts w:ascii="Times New Roman" w:hAnsi="Times New Roman"/>
          <w:color w:val="auto"/>
          <w:sz w:val="18"/>
          <w:szCs w:val="18"/>
        </w:rPr>
      </w:pPr>
      <w:r>
        <w:rPr>
          <w:rFonts w:hint="eastAsia" w:ascii="Times New Roman" w:hAnsi="Times New Roman"/>
          <w:color w:val="auto"/>
          <w:sz w:val="18"/>
          <w:szCs w:val="18"/>
        </w:rPr>
        <w:t>图25 暂存报告</w:t>
      </w:r>
    </w:p>
    <w:p w14:paraId="44319CD7">
      <w:pPr>
        <w:rPr>
          <w:rFonts w:ascii="Times New Roman" w:hAnsi="Times New Roman" w:eastAsia="宋体" w:cstheme="minorEastAsia"/>
          <w:b/>
          <w:bCs/>
          <w:snapToGrid w:val="0"/>
          <w:color w:val="auto"/>
          <w:kern w:val="0"/>
          <w:sz w:val="24"/>
          <w:lang w:bidi="ar"/>
        </w:rPr>
      </w:pPr>
      <w:bookmarkStart w:id="243" w:name="_Toc30918"/>
      <w:r>
        <w:rPr>
          <w:rFonts w:hint="eastAsia" w:ascii="Times New Roman" w:hAnsi="Times New Roman" w:eastAsia="宋体" w:cstheme="minorEastAsia"/>
          <w:b/>
          <w:bCs/>
          <w:snapToGrid w:val="0"/>
          <w:color w:val="auto"/>
          <w:kern w:val="0"/>
          <w:sz w:val="24"/>
          <w:lang w:bidi="ar"/>
        </w:rPr>
        <w:br w:type="page"/>
      </w:r>
    </w:p>
    <w:p w14:paraId="62732FA7">
      <w:pPr>
        <w:topLinePunct/>
        <w:autoSpaceDE w:val="0"/>
        <w:autoSpaceDN w:val="0"/>
        <w:adjustRightInd w:val="0"/>
        <w:snapToGrid w:val="0"/>
        <w:spacing w:line="360" w:lineRule="auto"/>
        <w:outlineLvl w:val="2"/>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4.3.14 药品不良反应/事件报告表</w:t>
      </w:r>
    </w:p>
    <w:p w14:paraId="359ED9D9">
      <w:pPr>
        <w:topLinePunct/>
        <w:autoSpaceDE w:val="0"/>
        <w:autoSpaceDN w:val="0"/>
        <w:adjustRightInd w:val="0"/>
        <w:snapToGrid w:val="0"/>
        <w:spacing w:line="360" w:lineRule="auto"/>
        <w:ind w:firstLine="480" w:firstLineChars="200"/>
        <w:outlineLvl w:val="2"/>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上报国家药品不良反应监测系统前，医疗机构可在内网平台报告，也可填写纸质报告（表2）。</w:t>
      </w:r>
    </w:p>
    <w:p w14:paraId="4C4CBA56">
      <w:pPr>
        <w:topLinePunct/>
        <w:adjustRightInd w:val="0"/>
        <w:snapToGrid w:val="0"/>
        <w:spacing w:line="360" w:lineRule="auto"/>
        <w:jc w:val="center"/>
        <w:rPr>
          <w:rFonts w:ascii="Times New Roman" w:hAnsi="Times New Roman" w:eastAsia="宋体" w:cstheme="minorEastAsia"/>
          <w:snapToGrid w:val="0"/>
          <w:color w:val="auto"/>
          <w:kern w:val="0"/>
          <w:szCs w:val="21"/>
          <w:lang w:bidi="ar"/>
        </w:rPr>
      </w:pPr>
      <w:r>
        <w:rPr>
          <w:rFonts w:hint="eastAsia" w:ascii="Times New Roman" w:hAnsi="Times New Roman" w:eastAsia="宋体" w:cstheme="minorEastAsia"/>
          <w:snapToGrid w:val="0"/>
          <w:color w:val="auto"/>
          <w:kern w:val="0"/>
          <w:szCs w:val="21"/>
          <w:lang w:bidi="ar"/>
        </w:rPr>
        <w:t>表2 药品不良反应/事件报告表</w:t>
      </w:r>
    </w:p>
    <w:p w14:paraId="4098BFDC">
      <w:pPr>
        <w:spacing w:line="240" w:lineRule="exact"/>
        <w:rPr>
          <w:rFonts w:ascii="Times New Roman" w:hAnsi="Times New Roman" w:eastAsia="宋体"/>
          <w:b/>
          <w:color w:val="auto"/>
          <w:sz w:val="24"/>
          <w:u w:val="single"/>
        </w:rPr>
      </w:pPr>
      <w:r>
        <w:rPr>
          <w:rFonts w:hint="eastAsia" w:ascii="Times New Roman" w:hAnsi="Times New Roman" w:eastAsia="宋体"/>
          <w:color w:val="auto"/>
          <w:sz w:val="18"/>
          <w:szCs w:val="18"/>
        </w:rPr>
        <w:t xml:space="preserve">首次报告□       跟踪报告□                           </w:t>
      </w:r>
      <w:r>
        <w:rPr>
          <w:rFonts w:hint="eastAsia" w:ascii="Times New Roman" w:hAnsi="Times New Roman" w:eastAsia="宋体"/>
          <w:color w:val="auto"/>
          <w:sz w:val="18"/>
        </w:rPr>
        <w:t>编码：</w:t>
      </w:r>
      <w:r>
        <w:rPr>
          <w:rFonts w:hint="eastAsia" w:ascii="Times New Roman" w:hAnsi="Times New Roman" w:eastAsia="宋体"/>
          <w:color w:val="auto"/>
          <w:u w:val="single"/>
        </w:rPr>
        <w:t xml:space="preserve">                            </w:t>
      </w:r>
    </w:p>
    <w:p w14:paraId="13A810AE">
      <w:pPr>
        <w:spacing w:line="360" w:lineRule="auto"/>
        <w:rPr>
          <w:rFonts w:ascii="Times New Roman" w:hAnsi="Times New Roman" w:eastAsia="宋体"/>
          <w:color w:val="auto"/>
          <w:sz w:val="18"/>
          <w:szCs w:val="18"/>
          <w:u w:val="single"/>
        </w:rPr>
      </w:pPr>
      <w:r>
        <w:rPr>
          <w:rFonts w:hint="eastAsia" w:ascii="Times New Roman" w:hAnsi="Times New Roman" w:eastAsia="宋体"/>
          <w:color w:val="auto"/>
          <w:sz w:val="18"/>
          <w:szCs w:val="18"/>
        </w:rPr>
        <w:t xml:space="preserve">报告类型：新的□ 严重□ 一般□  </w:t>
      </w:r>
      <w:r>
        <w:rPr>
          <w:rFonts w:hint="eastAsia" w:ascii="Times New Roman" w:hAnsi="Times New Roman" w:eastAsia="宋体"/>
          <w:bCs/>
          <w:color w:val="auto"/>
          <w:sz w:val="18"/>
          <w:szCs w:val="18"/>
        </w:rPr>
        <w:t>报告单位类别：医疗机构</w:t>
      </w:r>
      <w:r>
        <w:rPr>
          <w:rFonts w:hint="eastAsia" w:ascii="Times New Roman" w:hAnsi="Times New Roman" w:eastAsia="宋体"/>
          <w:color w:val="auto"/>
          <w:sz w:val="18"/>
          <w:szCs w:val="18"/>
        </w:rPr>
        <w:t xml:space="preserve">□ </w:t>
      </w:r>
      <w:r>
        <w:rPr>
          <w:rFonts w:hint="eastAsia" w:ascii="Times New Roman" w:hAnsi="Times New Roman" w:eastAsia="宋体"/>
          <w:bCs/>
          <w:color w:val="auto"/>
          <w:sz w:val="18"/>
          <w:szCs w:val="18"/>
        </w:rPr>
        <w:t>经营企业</w:t>
      </w:r>
      <w:r>
        <w:rPr>
          <w:rFonts w:hint="eastAsia" w:ascii="Times New Roman" w:hAnsi="Times New Roman" w:eastAsia="宋体"/>
          <w:color w:val="auto"/>
          <w:sz w:val="18"/>
          <w:szCs w:val="18"/>
        </w:rPr>
        <w:t>□ 生产企业□ 个人□ 其他□</w:t>
      </w:r>
      <w:r>
        <w:rPr>
          <w:rFonts w:hint="eastAsia" w:ascii="Times New Roman" w:hAnsi="Times New Roman" w:eastAsia="宋体"/>
          <w:color w:val="auto"/>
          <w:sz w:val="18"/>
          <w:szCs w:val="18"/>
          <w:u w:val="single"/>
        </w:rPr>
        <w:t xml:space="preserve">    </w:t>
      </w:r>
    </w:p>
    <w:tbl>
      <w:tblPr>
        <w:tblStyle w:val="12"/>
        <w:tblW w:w="5309" w:type="pct"/>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623"/>
        <w:gridCol w:w="233"/>
        <w:gridCol w:w="538"/>
        <w:gridCol w:w="358"/>
        <w:gridCol w:w="281"/>
        <w:gridCol w:w="366"/>
        <w:gridCol w:w="633"/>
        <w:gridCol w:w="396"/>
        <w:gridCol w:w="157"/>
        <w:gridCol w:w="167"/>
        <w:gridCol w:w="717"/>
        <w:gridCol w:w="349"/>
        <w:gridCol w:w="1213"/>
        <w:gridCol w:w="373"/>
        <w:gridCol w:w="985"/>
        <w:gridCol w:w="1026"/>
      </w:tblGrid>
      <w:tr w14:paraId="031F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95" w:type="pct"/>
            <w:gridSpan w:val="2"/>
            <w:vAlign w:val="center"/>
          </w:tcPr>
          <w:p w14:paraId="3794009E">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患者姓名：</w:t>
            </w:r>
          </w:p>
        </w:tc>
        <w:tc>
          <w:tcPr>
            <w:tcW w:w="779" w:type="pct"/>
            <w:gridSpan w:val="4"/>
            <w:vAlign w:val="center"/>
          </w:tcPr>
          <w:p w14:paraId="1BC85A8A">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性别：男□女□</w:t>
            </w:r>
          </w:p>
        </w:tc>
        <w:tc>
          <w:tcPr>
            <w:tcW w:w="949" w:type="pct"/>
            <w:gridSpan w:val="5"/>
            <w:vAlign w:val="center"/>
          </w:tcPr>
          <w:p w14:paraId="058FB065">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出生日期：  年 月 日或年龄：</w:t>
            </w:r>
          </w:p>
        </w:tc>
        <w:tc>
          <w:tcPr>
            <w:tcW w:w="589" w:type="pct"/>
            <w:gridSpan w:val="2"/>
            <w:vAlign w:val="center"/>
          </w:tcPr>
          <w:p w14:paraId="7A9C481B">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民族：</w:t>
            </w:r>
          </w:p>
        </w:tc>
        <w:tc>
          <w:tcPr>
            <w:tcW w:w="876" w:type="pct"/>
            <w:gridSpan w:val="2"/>
            <w:vAlign w:val="center"/>
          </w:tcPr>
          <w:p w14:paraId="62AD35DC">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体重（kg）：</w:t>
            </w:r>
          </w:p>
        </w:tc>
        <w:tc>
          <w:tcPr>
            <w:tcW w:w="1110" w:type="pct"/>
            <w:gridSpan w:val="2"/>
            <w:vAlign w:val="center"/>
          </w:tcPr>
          <w:p w14:paraId="38F8B4C5">
            <w:pP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联系方式：</w:t>
            </w:r>
          </w:p>
        </w:tc>
      </w:tr>
      <w:tr w14:paraId="1CB2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319" w:type="pct"/>
            <w:gridSpan w:val="5"/>
          </w:tcPr>
          <w:p w14:paraId="0FCC0E0A">
            <w:pPr>
              <w:rPr>
                <w:rFonts w:ascii="Times New Roman" w:hAnsi="Times New Roman" w:eastAsia="宋体"/>
                <w:color w:val="auto"/>
                <w:sz w:val="18"/>
                <w:szCs w:val="18"/>
              </w:rPr>
            </w:pPr>
            <w:r>
              <w:rPr>
                <w:rFonts w:hint="eastAsia" w:ascii="Times New Roman" w:hAnsi="Times New Roman" w:eastAsia="宋体"/>
                <w:color w:val="auto"/>
                <w:sz w:val="18"/>
                <w:szCs w:val="18"/>
              </w:rPr>
              <w:t>原患疾病：</w:t>
            </w:r>
          </w:p>
        </w:tc>
        <w:tc>
          <w:tcPr>
            <w:tcW w:w="1105" w:type="pct"/>
            <w:gridSpan w:val="6"/>
            <w:vAlign w:val="center"/>
          </w:tcPr>
          <w:p w14:paraId="3EF8D1E3">
            <w:pPr>
              <w:rPr>
                <w:rFonts w:ascii="Times New Roman" w:hAnsi="Times New Roman" w:eastAsia="宋体"/>
                <w:color w:val="auto"/>
                <w:sz w:val="18"/>
                <w:szCs w:val="18"/>
              </w:rPr>
            </w:pPr>
            <w:r>
              <w:rPr>
                <w:rFonts w:hint="eastAsia" w:ascii="Times New Roman" w:hAnsi="Times New Roman" w:eastAsia="宋体"/>
                <w:color w:val="auto"/>
                <w:sz w:val="18"/>
                <w:szCs w:val="18"/>
              </w:rPr>
              <w:t>医院名称：</w:t>
            </w:r>
          </w:p>
          <w:p w14:paraId="103A71A0">
            <w:pPr>
              <w:rPr>
                <w:rFonts w:ascii="Times New Roman" w:hAnsi="Times New Roman" w:eastAsia="宋体"/>
                <w:color w:val="auto"/>
                <w:sz w:val="18"/>
                <w:szCs w:val="18"/>
              </w:rPr>
            </w:pPr>
            <w:r>
              <w:rPr>
                <w:rFonts w:hint="eastAsia" w:ascii="Times New Roman" w:hAnsi="Times New Roman" w:eastAsia="宋体"/>
                <w:color w:val="auto"/>
                <w:sz w:val="18"/>
                <w:szCs w:val="18"/>
              </w:rPr>
              <w:t>病历号</w:t>
            </w:r>
            <w:r>
              <w:rPr>
                <w:rFonts w:ascii="Times New Roman" w:hAnsi="Times New Roman" w:eastAsia="宋体"/>
                <w:color w:val="auto"/>
                <w:sz w:val="18"/>
                <w:szCs w:val="18"/>
              </w:rPr>
              <w:t>/</w:t>
            </w:r>
            <w:r>
              <w:rPr>
                <w:rFonts w:hint="eastAsia" w:ascii="Times New Roman" w:hAnsi="Times New Roman" w:eastAsia="宋体"/>
                <w:color w:val="auto"/>
                <w:sz w:val="18"/>
                <w:szCs w:val="18"/>
              </w:rPr>
              <w:t>门诊号：</w:t>
            </w:r>
          </w:p>
        </w:tc>
        <w:tc>
          <w:tcPr>
            <w:tcW w:w="2575" w:type="pct"/>
            <w:gridSpan w:val="6"/>
            <w:vAlign w:val="center"/>
          </w:tcPr>
          <w:p w14:paraId="2581C779">
            <w:pPr>
              <w:jc w:val="left"/>
              <w:rPr>
                <w:rFonts w:ascii="Times New Roman" w:hAnsi="Times New Roman" w:eastAsia="宋体"/>
                <w:color w:val="auto"/>
                <w:sz w:val="18"/>
                <w:szCs w:val="18"/>
              </w:rPr>
            </w:pPr>
            <w:r>
              <w:rPr>
                <w:rFonts w:hint="eastAsia" w:ascii="Times New Roman" w:hAnsi="Times New Roman" w:eastAsia="宋体"/>
                <w:color w:val="auto"/>
                <w:sz w:val="18"/>
                <w:szCs w:val="18"/>
              </w:rPr>
              <w:t>既往药品不良反应/事件</w:t>
            </w:r>
            <w:r>
              <w:rPr>
                <w:rFonts w:ascii="Times New Roman" w:hAnsi="Times New Roman" w:eastAsia="宋体"/>
                <w:color w:val="auto"/>
                <w:sz w:val="18"/>
                <w:szCs w:val="18"/>
              </w:rPr>
              <w:t>：</w:t>
            </w:r>
            <w:r>
              <w:rPr>
                <w:rFonts w:hint="eastAsia" w:ascii="Times New Roman" w:hAnsi="Times New Roman" w:eastAsia="宋体"/>
                <w:color w:val="auto"/>
                <w:sz w:val="18"/>
                <w:szCs w:val="18"/>
              </w:rPr>
              <w:t>有□</w:t>
            </w:r>
            <w:r>
              <w:rPr>
                <w:rFonts w:hint="eastAsia" w:ascii="Times New Roman" w:hAnsi="Times New Roman" w:eastAsia="宋体"/>
                <w:color w:val="auto"/>
                <w:sz w:val="18"/>
                <w:szCs w:val="18"/>
                <w:u w:val="single"/>
              </w:rPr>
              <w:t xml:space="preserve">          </w:t>
            </w:r>
            <w:r>
              <w:rPr>
                <w:rFonts w:hint="eastAsia" w:ascii="Times New Roman" w:hAnsi="Times New Roman" w:eastAsia="宋体"/>
                <w:color w:val="auto"/>
                <w:sz w:val="18"/>
                <w:szCs w:val="18"/>
              </w:rPr>
              <w:t>无□</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不详□</w:t>
            </w:r>
          </w:p>
          <w:p w14:paraId="6EF65FC3">
            <w:pPr>
              <w:jc w:val="left"/>
              <w:rPr>
                <w:rFonts w:ascii="Times New Roman" w:hAnsi="Times New Roman" w:eastAsia="宋体"/>
                <w:color w:val="auto"/>
                <w:sz w:val="18"/>
                <w:szCs w:val="18"/>
              </w:rPr>
            </w:pPr>
            <w:r>
              <w:rPr>
                <w:rFonts w:hint="eastAsia" w:ascii="Times New Roman" w:hAnsi="Times New Roman" w:eastAsia="宋体"/>
                <w:color w:val="auto"/>
                <w:sz w:val="18"/>
                <w:szCs w:val="18"/>
              </w:rPr>
              <w:t>家族药品不良反</w:t>
            </w:r>
            <w:r>
              <w:rPr>
                <w:rFonts w:ascii="Times New Roman" w:hAnsi="Times New Roman" w:eastAsia="宋体"/>
                <w:color w:val="auto"/>
                <w:sz w:val="18"/>
                <w:szCs w:val="18"/>
              </w:rPr>
              <mc:AlternateContent>
                <mc:Choice Requires="wps">
                  <w:drawing>
                    <wp:anchor distT="0" distB="0" distL="114300" distR="114300" simplePos="0" relativeHeight="251659264" behindDoc="0" locked="0" layoutInCell="0" allowOverlap="1">
                      <wp:simplePos x="0" y="0"/>
                      <wp:positionH relativeFrom="column">
                        <wp:posOffset>7600950</wp:posOffset>
                      </wp:positionH>
                      <wp:positionV relativeFrom="paragraph">
                        <wp:posOffset>99060</wp:posOffset>
                      </wp:positionV>
                      <wp:extent cx="0" cy="396240"/>
                      <wp:effectExtent l="4445" t="0" r="14605" b="3810"/>
                      <wp:wrapNone/>
                      <wp:docPr id="5" name="直接连接符 5"/>
                      <wp:cNvGraphicFramePr/>
                      <a:graphic xmlns:a="http://schemas.openxmlformats.org/drawingml/2006/main">
                        <a:graphicData uri="http://schemas.microsoft.com/office/word/2010/wordprocessingShape">
                          <wps:wsp>
                            <wps:cNvCnPr/>
                            <wps:spPr>
                              <a:xfrm>
                                <a:off x="0" y="0"/>
                                <a:ext cx="0" cy="396240"/>
                              </a:xfrm>
                              <a:prstGeom prst="line">
                                <a:avLst/>
                              </a:prstGeom>
                              <a:ln w="31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98.5pt;margin-top:7.8pt;height:31.2pt;width:0pt;z-index:251659264;mso-width-relative:page;mso-height-relative:page;" filled="f" stroked="t" coordsize="21600,21600" o:allowincell="f" o:gfxdata="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UyAEdkAAAALAQAADwAAAAAAAAABACAAAAAiAAAAZHJzL2Rvd25yZXYueG1sUEsBAhQAFAAAAAgA&#10;h07iQDYQQi3rAQAA1wMAAA4AAAAAAAAAAQAgAAAAKAEAAGRycy9lMm9Eb2MueG1sUEsFBgAAAAAG&#10;AAYAWQEAAIUFAAAAAA==&#10;">
                      <v:fill on="f" focussize="0,0"/>
                      <v:stroke weight="0.25pt" color="#000000" joinstyle="round"/>
                      <v:imagedata o:title=""/>
                      <o:lock v:ext="edit" aspectratio="f"/>
                    </v:line>
                  </w:pict>
                </mc:Fallback>
              </mc:AlternateContent>
            </w:r>
            <w:r>
              <w:rPr>
                <w:rFonts w:hint="eastAsia" w:ascii="Times New Roman" w:hAnsi="Times New Roman" w:eastAsia="宋体"/>
                <w:color w:val="auto"/>
                <w:sz w:val="18"/>
                <w:szCs w:val="18"/>
              </w:rPr>
              <w:t>应/事件</w:t>
            </w:r>
            <w:r>
              <w:rPr>
                <w:rFonts w:ascii="Times New Roman" w:hAnsi="Times New Roman" w:eastAsia="宋体"/>
                <w:color w:val="auto"/>
                <w:sz w:val="18"/>
                <w:szCs w:val="18"/>
              </w:rPr>
              <w:t>：</w:t>
            </w:r>
            <w:r>
              <w:rPr>
                <w:rFonts w:hint="eastAsia" w:ascii="Times New Roman" w:hAnsi="Times New Roman" w:eastAsia="宋体"/>
                <w:color w:val="auto"/>
                <w:sz w:val="18"/>
                <w:szCs w:val="18"/>
              </w:rPr>
              <w:t>有□</w:t>
            </w:r>
            <w:r>
              <w:rPr>
                <w:rFonts w:hint="eastAsia" w:ascii="Times New Roman" w:hAnsi="Times New Roman" w:eastAsia="宋体"/>
                <w:color w:val="auto"/>
                <w:sz w:val="18"/>
                <w:szCs w:val="18"/>
                <w:u w:val="single"/>
              </w:rPr>
              <w:t xml:space="preserve">          </w:t>
            </w:r>
            <w:r>
              <w:rPr>
                <w:rFonts w:hint="eastAsia" w:ascii="Times New Roman" w:hAnsi="Times New Roman" w:eastAsia="宋体"/>
                <w:color w:val="auto"/>
                <w:sz w:val="18"/>
                <w:szCs w:val="18"/>
              </w:rPr>
              <w:t>无□ 不详□</w:t>
            </w:r>
          </w:p>
        </w:tc>
      </w:tr>
      <w:tr w14:paraId="56E0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gridSpan w:val="17"/>
            <w:vAlign w:val="center"/>
          </w:tcPr>
          <w:p w14:paraId="61FDF69C">
            <w:pPr>
              <w:rPr>
                <w:rFonts w:ascii="Times New Roman" w:hAnsi="Times New Roman" w:eastAsia="宋体"/>
                <w:color w:val="auto"/>
                <w:sz w:val="18"/>
                <w:szCs w:val="18"/>
              </w:rPr>
            </w:pPr>
            <w:r>
              <w:rPr>
                <w:rFonts w:hint="eastAsia" w:ascii="Times New Roman" w:hAnsi="Times New Roman" w:eastAsia="宋体"/>
                <w:color w:val="auto"/>
                <w:sz w:val="18"/>
                <w:szCs w:val="18"/>
              </w:rPr>
              <w:t>相关重要信息：吸烟史□ 饮酒史□ 妊娠期□ 肝病史□ 肾病史□ 过敏史□</w:t>
            </w:r>
            <w:r>
              <w:rPr>
                <w:rFonts w:hint="eastAsia" w:ascii="Times New Roman" w:hAnsi="Times New Roman" w:eastAsia="宋体"/>
                <w:color w:val="auto"/>
                <w:sz w:val="18"/>
                <w:szCs w:val="18"/>
                <w:u w:val="single"/>
              </w:rPr>
              <w:t xml:space="preserve">           </w:t>
            </w:r>
            <w:r>
              <w:rPr>
                <w:rFonts w:hint="eastAsia" w:ascii="Times New Roman" w:hAnsi="Times New Roman" w:eastAsia="宋体"/>
                <w:color w:val="auto"/>
                <w:sz w:val="18"/>
                <w:szCs w:val="18"/>
              </w:rPr>
              <w:t>其他□</w:t>
            </w:r>
            <w:r>
              <w:rPr>
                <w:rFonts w:hint="eastAsia" w:ascii="Times New Roman" w:hAnsi="Times New Roman" w:eastAsia="宋体"/>
                <w:color w:val="auto"/>
                <w:sz w:val="18"/>
                <w:szCs w:val="18"/>
                <w:u w:val="single"/>
              </w:rPr>
              <w:t xml:space="preserve">             </w:t>
            </w:r>
          </w:p>
        </w:tc>
      </w:tr>
      <w:tr w14:paraId="448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51" w:type="pct"/>
            <w:vAlign w:val="center"/>
          </w:tcPr>
          <w:p w14:paraId="6B80D4EA">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药品</w:t>
            </w:r>
          </w:p>
        </w:tc>
        <w:tc>
          <w:tcPr>
            <w:tcW w:w="344" w:type="pct"/>
            <w:vAlign w:val="center"/>
          </w:tcPr>
          <w:p w14:paraId="69422F52">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批准文号</w:t>
            </w:r>
          </w:p>
        </w:tc>
        <w:tc>
          <w:tcPr>
            <w:tcW w:w="426" w:type="pct"/>
            <w:gridSpan w:val="2"/>
            <w:vAlign w:val="center"/>
          </w:tcPr>
          <w:p w14:paraId="74513886">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商品</w:t>
            </w:r>
          </w:p>
          <w:p w14:paraId="51868DC7">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名称</w:t>
            </w:r>
          </w:p>
        </w:tc>
        <w:tc>
          <w:tcPr>
            <w:tcW w:w="555" w:type="pct"/>
            <w:gridSpan w:val="3"/>
            <w:vAlign w:val="center"/>
          </w:tcPr>
          <w:p w14:paraId="7B84B5BB">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通用名称</w:t>
            </w:r>
          </w:p>
          <w:p w14:paraId="2A4E1310">
            <w:pPr>
              <w:jc w:val="center"/>
              <w:rPr>
                <w:rFonts w:ascii="Times New Roman" w:hAnsi="Times New Roman" w:eastAsia="宋体"/>
                <w:color w:val="auto"/>
                <w:sz w:val="18"/>
                <w:szCs w:val="18"/>
              </w:rPr>
            </w:pPr>
            <w:r>
              <w:rPr>
                <w:rFonts w:hint="eastAsia" w:ascii="Times New Roman" w:hAnsi="Times New Roman" w:eastAsia="宋体"/>
                <w:color w:val="auto"/>
                <w:sz w:val="15"/>
                <w:szCs w:val="15"/>
              </w:rPr>
              <w:t>（含剂型）</w:t>
            </w:r>
          </w:p>
        </w:tc>
        <w:tc>
          <w:tcPr>
            <w:tcW w:w="747" w:type="pct"/>
            <w:gridSpan w:val="4"/>
            <w:vAlign w:val="center"/>
          </w:tcPr>
          <w:p w14:paraId="361BED29">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生产厂家</w:t>
            </w:r>
          </w:p>
        </w:tc>
        <w:tc>
          <w:tcPr>
            <w:tcW w:w="396" w:type="pct"/>
            <w:vAlign w:val="center"/>
          </w:tcPr>
          <w:p w14:paraId="03F82613">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生产批号</w:t>
            </w:r>
          </w:p>
        </w:tc>
        <w:tc>
          <w:tcPr>
            <w:tcW w:w="1069" w:type="pct"/>
            <w:gridSpan w:val="3"/>
            <w:vAlign w:val="center"/>
          </w:tcPr>
          <w:p w14:paraId="41079CE3">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用法用量</w:t>
            </w:r>
          </w:p>
          <w:p w14:paraId="6C78973B">
            <w:pPr>
              <w:jc w:val="center"/>
              <w:rPr>
                <w:rFonts w:ascii="Times New Roman" w:hAnsi="Times New Roman" w:eastAsia="宋体"/>
                <w:color w:val="auto"/>
                <w:sz w:val="15"/>
                <w:szCs w:val="15"/>
                <w:highlight w:val="yellow"/>
              </w:rPr>
            </w:pPr>
            <w:r>
              <w:rPr>
                <w:rFonts w:hint="eastAsia" w:ascii="Times New Roman" w:hAnsi="Times New Roman" w:eastAsia="宋体"/>
                <w:color w:val="auto"/>
                <w:sz w:val="15"/>
                <w:szCs w:val="15"/>
              </w:rPr>
              <w:t>（次剂量、途径、日次数）</w:t>
            </w:r>
          </w:p>
        </w:tc>
        <w:tc>
          <w:tcPr>
            <w:tcW w:w="544" w:type="pct"/>
            <w:vAlign w:val="center"/>
          </w:tcPr>
          <w:p w14:paraId="3E34D56D">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用药起</w:t>
            </w:r>
          </w:p>
          <w:p w14:paraId="066A761E">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止时间</w:t>
            </w:r>
          </w:p>
        </w:tc>
        <w:tc>
          <w:tcPr>
            <w:tcW w:w="565" w:type="pct"/>
            <w:vAlign w:val="center"/>
          </w:tcPr>
          <w:p w14:paraId="02994C3B">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用药原因</w:t>
            </w:r>
          </w:p>
        </w:tc>
      </w:tr>
      <w:tr w14:paraId="78F6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restart"/>
            <w:vAlign w:val="center"/>
          </w:tcPr>
          <w:p w14:paraId="19497D03">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怀疑药品</w:t>
            </w:r>
          </w:p>
        </w:tc>
        <w:tc>
          <w:tcPr>
            <w:tcW w:w="344" w:type="pct"/>
            <w:vAlign w:val="center"/>
          </w:tcPr>
          <w:p w14:paraId="743B81C9">
            <w:pPr>
              <w:widowControl/>
              <w:jc w:val="left"/>
              <w:rPr>
                <w:rFonts w:ascii="Times New Roman" w:hAnsi="Times New Roman" w:eastAsia="宋体"/>
                <w:color w:val="auto"/>
                <w:sz w:val="18"/>
                <w:szCs w:val="18"/>
              </w:rPr>
            </w:pPr>
          </w:p>
        </w:tc>
        <w:tc>
          <w:tcPr>
            <w:tcW w:w="426" w:type="pct"/>
            <w:gridSpan w:val="2"/>
            <w:vAlign w:val="center"/>
          </w:tcPr>
          <w:p w14:paraId="745C8EF5">
            <w:pPr>
              <w:widowControl/>
              <w:jc w:val="left"/>
              <w:rPr>
                <w:rFonts w:ascii="Times New Roman" w:hAnsi="Times New Roman" w:eastAsia="宋体"/>
                <w:color w:val="auto"/>
                <w:sz w:val="18"/>
                <w:szCs w:val="18"/>
              </w:rPr>
            </w:pPr>
          </w:p>
        </w:tc>
        <w:tc>
          <w:tcPr>
            <w:tcW w:w="555" w:type="pct"/>
            <w:gridSpan w:val="3"/>
            <w:vAlign w:val="center"/>
          </w:tcPr>
          <w:p w14:paraId="59B110BB">
            <w:pPr>
              <w:rPr>
                <w:rFonts w:ascii="Times New Roman" w:hAnsi="Times New Roman" w:eastAsia="宋体"/>
                <w:color w:val="auto"/>
                <w:sz w:val="18"/>
                <w:szCs w:val="18"/>
              </w:rPr>
            </w:pPr>
          </w:p>
        </w:tc>
        <w:tc>
          <w:tcPr>
            <w:tcW w:w="747" w:type="pct"/>
            <w:gridSpan w:val="4"/>
            <w:vAlign w:val="center"/>
          </w:tcPr>
          <w:p w14:paraId="1A5730C3">
            <w:pPr>
              <w:rPr>
                <w:rFonts w:ascii="Times New Roman" w:hAnsi="Times New Roman" w:eastAsia="宋体"/>
                <w:color w:val="auto"/>
                <w:sz w:val="18"/>
                <w:szCs w:val="18"/>
              </w:rPr>
            </w:pPr>
          </w:p>
        </w:tc>
        <w:tc>
          <w:tcPr>
            <w:tcW w:w="396" w:type="pct"/>
            <w:vAlign w:val="center"/>
          </w:tcPr>
          <w:p w14:paraId="7059F2B5">
            <w:pPr>
              <w:rPr>
                <w:rFonts w:ascii="Times New Roman" w:hAnsi="Times New Roman" w:eastAsia="宋体"/>
                <w:color w:val="auto"/>
                <w:sz w:val="18"/>
                <w:szCs w:val="18"/>
              </w:rPr>
            </w:pPr>
          </w:p>
        </w:tc>
        <w:tc>
          <w:tcPr>
            <w:tcW w:w="1069" w:type="pct"/>
            <w:gridSpan w:val="3"/>
            <w:vAlign w:val="center"/>
          </w:tcPr>
          <w:p w14:paraId="3B52C751">
            <w:pPr>
              <w:rPr>
                <w:rFonts w:ascii="Times New Roman" w:hAnsi="Times New Roman" w:eastAsia="宋体"/>
                <w:color w:val="auto"/>
                <w:sz w:val="18"/>
                <w:szCs w:val="18"/>
              </w:rPr>
            </w:pPr>
          </w:p>
        </w:tc>
        <w:tc>
          <w:tcPr>
            <w:tcW w:w="544" w:type="pct"/>
            <w:vAlign w:val="center"/>
          </w:tcPr>
          <w:p w14:paraId="0779D4AF">
            <w:pPr>
              <w:rPr>
                <w:rFonts w:ascii="Times New Roman" w:hAnsi="Times New Roman" w:eastAsia="宋体"/>
                <w:color w:val="auto"/>
                <w:sz w:val="18"/>
                <w:szCs w:val="18"/>
              </w:rPr>
            </w:pPr>
          </w:p>
        </w:tc>
        <w:tc>
          <w:tcPr>
            <w:tcW w:w="565" w:type="pct"/>
            <w:vAlign w:val="center"/>
          </w:tcPr>
          <w:p w14:paraId="3D529D16">
            <w:pPr>
              <w:rPr>
                <w:rFonts w:ascii="Times New Roman" w:hAnsi="Times New Roman" w:eastAsia="宋体"/>
                <w:b/>
                <w:color w:val="auto"/>
                <w:sz w:val="18"/>
                <w:szCs w:val="18"/>
              </w:rPr>
            </w:pPr>
          </w:p>
        </w:tc>
      </w:tr>
      <w:tr w14:paraId="1E01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continue"/>
            <w:vAlign w:val="center"/>
          </w:tcPr>
          <w:p w14:paraId="2A38A895">
            <w:pPr>
              <w:jc w:val="center"/>
              <w:rPr>
                <w:rFonts w:ascii="Times New Roman" w:hAnsi="Times New Roman" w:eastAsia="宋体"/>
                <w:color w:val="auto"/>
                <w:sz w:val="18"/>
                <w:szCs w:val="18"/>
              </w:rPr>
            </w:pPr>
          </w:p>
        </w:tc>
        <w:tc>
          <w:tcPr>
            <w:tcW w:w="344" w:type="pct"/>
            <w:vAlign w:val="center"/>
          </w:tcPr>
          <w:p w14:paraId="1D4694F2">
            <w:pPr>
              <w:rPr>
                <w:rFonts w:ascii="Times New Roman" w:hAnsi="Times New Roman" w:eastAsia="宋体"/>
                <w:color w:val="auto"/>
                <w:sz w:val="18"/>
                <w:szCs w:val="18"/>
              </w:rPr>
            </w:pPr>
          </w:p>
        </w:tc>
        <w:tc>
          <w:tcPr>
            <w:tcW w:w="426" w:type="pct"/>
            <w:gridSpan w:val="2"/>
            <w:vAlign w:val="center"/>
          </w:tcPr>
          <w:p w14:paraId="6AD13B9C">
            <w:pPr>
              <w:rPr>
                <w:rFonts w:ascii="Times New Roman" w:hAnsi="Times New Roman" w:eastAsia="宋体"/>
                <w:color w:val="auto"/>
                <w:sz w:val="18"/>
                <w:szCs w:val="18"/>
              </w:rPr>
            </w:pPr>
          </w:p>
        </w:tc>
        <w:tc>
          <w:tcPr>
            <w:tcW w:w="555" w:type="pct"/>
            <w:gridSpan w:val="3"/>
            <w:vAlign w:val="center"/>
          </w:tcPr>
          <w:p w14:paraId="7186A2DE">
            <w:pPr>
              <w:jc w:val="left"/>
              <w:rPr>
                <w:rFonts w:ascii="Times New Roman" w:hAnsi="Times New Roman" w:eastAsia="宋体"/>
                <w:color w:val="auto"/>
                <w:sz w:val="18"/>
                <w:szCs w:val="18"/>
              </w:rPr>
            </w:pPr>
          </w:p>
        </w:tc>
        <w:tc>
          <w:tcPr>
            <w:tcW w:w="747" w:type="pct"/>
            <w:gridSpan w:val="4"/>
            <w:vAlign w:val="center"/>
          </w:tcPr>
          <w:p w14:paraId="32E0E32A">
            <w:pPr>
              <w:jc w:val="left"/>
              <w:rPr>
                <w:rFonts w:ascii="Times New Roman" w:hAnsi="Times New Roman" w:eastAsia="宋体"/>
                <w:color w:val="auto"/>
                <w:sz w:val="18"/>
                <w:szCs w:val="18"/>
              </w:rPr>
            </w:pPr>
          </w:p>
        </w:tc>
        <w:tc>
          <w:tcPr>
            <w:tcW w:w="396" w:type="pct"/>
            <w:vAlign w:val="center"/>
          </w:tcPr>
          <w:p w14:paraId="722082F7">
            <w:pPr>
              <w:jc w:val="left"/>
              <w:rPr>
                <w:rFonts w:ascii="Times New Roman" w:hAnsi="Times New Roman" w:eastAsia="宋体"/>
                <w:color w:val="auto"/>
                <w:sz w:val="18"/>
                <w:szCs w:val="18"/>
              </w:rPr>
            </w:pPr>
          </w:p>
        </w:tc>
        <w:tc>
          <w:tcPr>
            <w:tcW w:w="1069" w:type="pct"/>
            <w:gridSpan w:val="3"/>
            <w:vAlign w:val="center"/>
          </w:tcPr>
          <w:p w14:paraId="048F8A5F">
            <w:pPr>
              <w:jc w:val="left"/>
              <w:rPr>
                <w:rFonts w:ascii="Times New Roman" w:hAnsi="Times New Roman" w:eastAsia="宋体"/>
                <w:color w:val="auto"/>
                <w:sz w:val="18"/>
                <w:szCs w:val="18"/>
              </w:rPr>
            </w:pPr>
          </w:p>
        </w:tc>
        <w:tc>
          <w:tcPr>
            <w:tcW w:w="544" w:type="pct"/>
            <w:vAlign w:val="center"/>
          </w:tcPr>
          <w:p w14:paraId="5638550F">
            <w:pPr>
              <w:jc w:val="left"/>
              <w:rPr>
                <w:rFonts w:ascii="Times New Roman" w:hAnsi="Times New Roman" w:eastAsia="宋体"/>
                <w:color w:val="auto"/>
                <w:sz w:val="18"/>
                <w:szCs w:val="18"/>
              </w:rPr>
            </w:pPr>
          </w:p>
        </w:tc>
        <w:tc>
          <w:tcPr>
            <w:tcW w:w="565" w:type="pct"/>
            <w:vAlign w:val="center"/>
          </w:tcPr>
          <w:p w14:paraId="3961F8BD">
            <w:pPr>
              <w:jc w:val="left"/>
              <w:rPr>
                <w:rFonts w:ascii="Times New Roman" w:hAnsi="Times New Roman" w:eastAsia="宋体"/>
                <w:b/>
                <w:color w:val="auto"/>
                <w:sz w:val="18"/>
                <w:szCs w:val="18"/>
              </w:rPr>
            </w:pPr>
          </w:p>
        </w:tc>
      </w:tr>
      <w:tr w14:paraId="1B8C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continue"/>
            <w:vAlign w:val="center"/>
          </w:tcPr>
          <w:p w14:paraId="3E7C9132">
            <w:pPr>
              <w:jc w:val="center"/>
              <w:rPr>
                <w:rFonts w:ascii="Times New Roman" w:hAnsi="Times New Roman" w:eastAsia="宋体"/>
                <w:color w:val="auto"/>
                <w:sz w:val="18"/>
                <w:szCs w:val="18"/>
              </w:rPr>
            </w:pPr>
          </w:p>
        </w:tc>
        <w:tc>
          <w:tcPr>
            <w:tcW w:w="344" w:type="pct"/>
            <w:vAlign w:val="center"/>
          </w:tcPr>
          <w:p w14:paraId="283D1F09">
            <w:pPr>
              <w:rPr>
                <w:rFonts w:ascii="Times New Roman" w:hAnsi="Times New Roman" w:eastAsia="宋体"/>
                <w:color w:val="auto"/>
                <w:sz w:val="18"/>
                <w:szCs w:val="18"/>
              </w:rPr>
            </w:pPr>
          </w:p>
        </w:tc>
        <w:tc>
          <w:tcPr>
            <w:tcW w:w="426" w:type="pct"/>
            <w:gridSpan w:val="2"/>
            <w:vAlign w:val="center"/>
          </w:tcPr>
          <w:p w14:paraId="1771647F">
            <w:pPr>
              <w:rPr>
                <w:rFonts w:ascii="Times New Roman" w:hAnsi="Times New Roman" w:eastAsia="宋体"/>
                <w:color w:val="auto"/>
                <w:sz w:val="18"/>
                <w:szCs w:val="18"/>
              </w:rPr>
            </w:pPr>
          </w:p>
        </w:tc>
        <w:tc>
          <w:tcPr>
            <w:tcW w:w="555" w:type="pct"/>
            <w:gridSpan w:val="3"/>
            <w:vAlign w:val="center"/>
          </w:tcPr>
          <w:p w14:paraId="0C4F8993">
            <w:pPr>
              <w:widowControl/>
              <w:jc w:val="left"/>
              <w:rPr>
                <w:rFonts w:ascii="Times New Roman" w:hAnsi="Times New Roman" w:eastAsia="宋体"/>
                <w:color w:val="auto"/>
                <w:sz w:val="18"/>
                <w:szCs w:val="18"/>
              </w:rPr>
            </w:pPr>
          </w:p>
        </w:tc>
        <w:tc>
          <w:tcPr>
            <w:tcW w:w="747" w:type="pct"/>
            <w:gridSpan w:val="4"/>
            <w:vAlign w:val="center"/>
          </w:tcPr>
          <w:p w14:paraId="3B80CFB2">
            <w:pPr>
              <w:widowControl/>
              <w:jc w:val="left"/>
              <w:rPr>
                <w:rFonts w:ascii="Times New Roman" w:hAnsi="Times New Roman" w:eastAsia="宋体"/>
                <w:color w:val="auto"/>
                <w:sz w:val="18"/>
                <w:szCs w:val="18"/>
              </w:rPr>
            </w:pPr>
          </w:p>
        </w:tc>
        <w:tc>
          <w:tcPr>
            <w:tcW w:w="396" w:type="pct"/>
            <w:vAlign w:val="center"/>
          </w:tcPr>
          <w:p w14:paraId="140192E4">
            <w:pPr>
              <w:widowControl/>
              <w:jc w:val="left"/>
              <w:rPr>
                <w:rFonts w:ascii="Times New Roman" w:hAnsi="Times New Roman" w:eastAsia="宋体"/>
                <w:color w:val="auto"/>
                <w:sz w:val="18"/>
                <w:szCs w:val="18"/>
              </w:rPr>
            </w:pPr>
          </w:p>
        </w:tc>
        <w:tc>
          <w:tcPr>
            <w:tcW w:w="1069" w:type="pct"/>
            <w:gridSpan w:val="3"/>
            <w:vAlign w:val="center"/>
          </w:tcPr>
          <w:p w14:paraId="0B9AD0CF">
            <w:pPr>
              <w:widowControl/>
              <w:jc w:val="left"/>
              <w:rPr>
                <w:rFonts w:ascii="Times New Roman" w:hAnsi="Times New Roman" w:eastAsia="宋体"/>
                <w:color w:val="auto"/>
                <w:sz w:val="18"/>
                <w:szCs w:val="18"/>
              </w:rPr>
            </w:pPr>
          </w:p>
        </w:tc>
        <w:tc>
          <w:tcPr>
            <w:tcW w:w="544" w:type="pct"/>
            <w:vAlign w:val="center"/>
          </w:tcPr>
          <w:p w14:paraId="46C1F2A5">
            <w:pPr>
              <w:widowControl/>
              <w:jc w:val="left"/>
              <w:rPr>
                <w:rFonts w:ascii="Times New Roman" w:hAnsi="Times New Roman" w:eastAsia="宋体"/>
                <w:color w:val="auto"/>
                <w:sz w:val="18"/>
                <w:szCs w:val="18"/>
              </w:rPr>
            </w:pPr>
          </w:p>
        </w:tc>
        <w:tc>
          <w:tcPr>
            <w:tcW w:w="565" w:type="pct"/>
            <w:vAlign w:val="center"/>
          </w:tcPr>
          <w:p w14:paraId="47662C0F">
            <w:pPr>
              <w:widowControl/>
              <w:jc w:val="left"/>
              <w:rPr>
                <w:rFonts w:ascii="Times New Roman" w:hAnsi="Times New Roman" w:eastAsia="宋体"/>
                <w:b/>
                <w:color w:val="auto"/>
                <w:sz w:val="18"/>
                <w:szCs w:val="18"/>
              </w:rPr>
            </w:pPr>
          </w:p>
        </w:tc>
      </w:tr>
      <w:tr w14:paraId="14C1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restart"/>
            <w:vAlign w:val="center"/>
          </w:tcPr>
          <w:p w14:paraId="17C7FE20">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并用药品</w:t>
            </w:r>
          </w:p>
        </w:tc>
        <w:tc>
          <w:tcPr>
            <w:tcW w:w="344" w:type="pct"/>
            <w:vAlign w:val="center"/>
          </w:tcPr>
          <w:p w14:paraId="4B23039B">
            <w:pPr>
              <w:rPr>
                <w:rFonts w:ascii="Times New Roman" w:hAnsi="Times New Roman" w:eastAsia="宋体"/>
                <w:color w:val="auto"/>
                <w:sz w:val="18"/>
                <w:szCs w:val="18"/>
              </w:rPr>
            </w:pPr>
          </w:p>
        </w:tc>
        <w:tc>
          <w:tcPr>
            <w:tcW w:w="426" w:type="pct"/>
            <w:gridSpan w:val="2"/>
            <w:vAlign w:val="center"/>
          </w:tcPr>
          <w:p w14:paraId="2EF55AC8">
            <w:pPr>
              <w:rPr>
                <w:rFonts w:ascii="Times New Roman" w:hAnsi="Times New Roman" w:eastAsia="宋体"/>
                <w:color w:val="auto"/>
                <w:sz w:val="18"/>
                <w:szCs w:val="18"/>
              </w:rPr>
            </w:pPr>
          </w:p>
        </w:tc>
        <w:tc>
          <w:tcPr>
            <w:tcW w:w="555" w:type="pct"/>
            <w:gridSpan w:val="3"/>
            <w:vAlign w:val="center"/>
          </w:tcPr>
          <w:p w14:paraId="427BEEB4">
            <w:pPr>
              <w:rPr>
                <w:rFonts w:ascii="Times New Roman" w:hAnsi="Times New Roman" w:eastAsia="宋体"/>
                <w:color w:val="auto"/>
                <w:sz w:val="18"/>
                <w:szCs w:val="18"/>
              </w:rPr>
            </w:pPr>
          </w:p>
        </w:tc>
        <w:tc>
          <w:tcPr>
            <w:tcW w:w="747" w:type="pct"/>
            <w:gridSpan w:val="4"/>
            <w:vAlign w:val="center"/>
          </w:tcPr>
          <w:p w14:paraId="5BCCB47A">
            <w:pPr>
              <w:rPr>
                <w:rFonts w:ascii="Times New Roman" w:hAnsi="Times New Roman" w:eastAsia="宋体"/>
                <w:color w:val="auto"/>
                <w:sz w:val="18"/>
                <w:szCs w:val="18"/>
              </w:rPr>
            </w:pPr>
          </w:p>
        </w:tc>
        <w:tc>
          <w:tcPr>
            <w:tcW w:w="396" w:type="pct"/>
            <w:vAlign w:val="center"/>
          </w:tcPr>
          <w:p w14:paraId="6655B030">
            <w:pPr>
              <w:rPr>
                <w:rFonts w:ascii="Times New Roman" w:hAnsi="Times New Roman" w:eastAsia="宋体"/>
                <w:color w:val="auto"/>
                <w:sz w:val="18"/>
                <w:szCs w:val="18"/>
              </w:rPr>
            </w:pPr>
          </w:p>
        </w:tc>
        <w:tc>
          <w:tcPr>
            <w:tcW w:w="1069" w:type="pct"/>
            <w:gridSpan w:val="3"/>
            <w:vAlign w:val="center"/>
          </w:tcPr>
          <w:p w14:paraId="4D811757">
            <w:pPr>
              <w:rPr>
                <w:rFonts w:ascii="Times New Roman" w:hAnsi="Times New Roman" w:eastAsia="宋体"/>
                <w:color w:val="auto"/>
                <w:sz w:val="18"/>
                <w:szCs w:val="18"/>
              </w:rPr>
            </w:pPr>
          </w:p>
        </w:tc>
        <w:tc>
          <w:tcPr>
            <w:tcW w:w="544" w:type="pct"/>
            <w:vAlign w:val="center"/>
          </w:tcPr>
          <w:p w14:paraId="7409A0C7">
            <w:pPr>
              <w:rPr>
                <w:rFonts w:ascii="Times New Roman" w:hAnsi="Times New Roman" w:eastAsia="宋体"/>
                <w:color w:val="auto"/>
                <w:sz w:val="18"/>
                <w:szCs w:val="18"/>
              </w:rPr>
            </w:pPr>
          </w:p>
        </w:tc>
        <w:tc>
          <w:tcPr>
            <w:tcW w:w="565" w:type="pct"/>
            <w:vAlign w:val="center"/>
          </w:tcPr>
          <w:p w14:paraId="392EA37B">
            <w:pPr>
              <w:rPr>
                <w:rFonts w:ascii="Times New Roman" w:hAnsi="Times New Roman" w:eastAsia="宋体"/>
                <w:b/>
                <w:color w:val="auto"/>
                <w:sz w:val="18"/>
                <w:szCs w:val="18"/>
              </w:rPr>
            </w:pPr>
          </w:p>
        </w:tc>
      </w:tr>
      <w:tr w14:paraId="41B2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continue"/>
            <w:vAlign w:val="center"/>
          </w:tcPr>
          <w:p w14:paraId="76FAAC9E">
            <w:pPr>
              <w:jc w:val="center"/>
              <w:rPr>
                <w:rFonts w:ascii="Times New Roman" w:hAnsi="Times New Roman" w:eastAsia="宋体"/>
                <w:color w:val="auto"/>
                <w:sz w:val="18"/>
                <w:szCs w:val="18"/>
              </w:rPr>
            </w:pPr>
          </w:p>
        </w:tc>
        <w:tc>
          <w:tcPr>
            <w:tcW w:w="344" w:type="pct"/>
            <w:vAlign w:val="center"/>
          </w:tcPr>
          <w:p w14:paraId="3E7B2D85">
            <w:pPr>
              <w:rPr>
                <w:rFonts w:ascii="Times New Roman" w:hAnsi="Times New Roman" w:eastAsia="宋体"/>
                <w:color w:val="auto"/>
                <w:sz w:val="18"/>
                <w:szCs w:val="18"/>
              </w:rPr>
            </w:pPr>
          </w:p>
        </w:tc>
        <w:tc>
          <w:tcPr>
            <w:tcW w:w="426" w:type="pct"/>
            <w:gridSpan w:val="2"/>
            <w:vAlign w:val="center"/>
          </w:tcPr>
          <w:p w14:paraId="6092BA43">
            <w:pPr>
              <w:rPr>
                <w:rFonts w:ascii="Times New Roman" w:hAnsi="Times New Roman" w:eastAsia="宋体"/>
                <w:color w:val="auto"/>
                <w:sz w:val="18"/>
                <w:szCs w:val="18"/>
              </w:rPr>
            </w:pPr>
          </w:p>
        </w:tc>
        <w:tc>
          <w:tcPr>
            <w:tcW w:w="555" w:type="pct"/>
            <w:gridSpan w:val="3"/>
            <w:vAlign w:val="center"/>
          </w:tcPr>
          <w:p w14:paraId="493EBF9F">
            <w:pPr>
              <w:rPr>
                <w:rFonts w:ascii="Times New Roman" w:hAnsi="Times New Roman" w:eastAsia="宋体"/>
                <w:color w:val="auto"/>
                <w:sz w:val="18"/>
                <w:szCs w:val="18"/>
              </w:rPr>
            </w:pPr>
          </w:p>
        </w:tc>
        <w:tc>
          <w:tcPr>
            <w:tcW w:w="747" w:type="pct"/>
            <w:gridSpan w:val="4"/>
            <w:vAlign w:val="center"/>
          </w:tcPr>
          <w:p w14:paraId="20E5046D">
            <w:pPr>
              <w:rPr>
                <w:rFonts w:ascii="Times New Roman" w:hAnsi="Times New Roman" w:eastAsia="宋体"/>
                <w:color w:val="auto"/>
                <w:sz w:val="18"/>
                <w:szCs w:val="18"/>
              </w:rPr>
            </w:pPr>
          </w:p>
        </w:tc>
        <w:tc>
          <w:tcPr>
            <w:tcW w:w="396" w:type="pct"/>
            <w:vAlign w:val="center"/>
          </w:tcPr>
          <w:p w14:paraId="47D66844">
            <w:pPr>
              <w:rPr>
                <w:rFonts w:ascii="Times New Roman" w:hAnsi="Times New Roman" w:eastAsia="宋体"/>
                <w:color w:val="auto"/>
                <w:sz w:val="18"/>
                <w:szCs w:val="18"/>
              </w:rPr>
            </w:pPr>
          </w:p>
        </w:tc>
        <w:tc>
          <w:tcPr>
            <w:tcW w:w="1069" w:type="pct"/>
            <w:gridSpan w:val="3"/>
            <w:vAlign w:val="center"/>
          </w:tcPr>
          <w:p w14:paraId="474FA23B">
            <w:pPr>
              <w:rPr>
                <w:rFonts w:ascii="Times New Roman" w:hAnsi="Times New Roman" w:eastAsia="宋体"/>
                <w:color w:val="auto"/>
                <w:sz w:val="18"/>
                <w:szCs w:val="18"/>
              </w:rPr>
            </w:pPr>
          </w:p>
        </w:tc>
        <w:tc>
          <w:tcPr>
            <w:tcW w:w="544" w:type="pct"/>
            <w:vAlign w:val="center"/>
          </w:tcPr>
          <w:p w14:paraId="0A15912E">
            <w:pPr>
              <w:rPr>
                <w:rFonts w:ascii="Times New Roman" w:hAnsi="Times New Roman" w:eastAsia="宋体"/>
                <w:color w:val="auto"/>
                <w:sz w:val="18"/>
                <w:szCs w:val="18"/>
              </w:rPr>
            </w:pPr>
          </w:p>
        </w:tc>
        <w:tc>
          <w:tcPr>
            <w:tcW w:w="565" w:type="pct"/>
            <w:vAlign w:val="center"/>
          </w:tcPr>
          <w:p w14:paraId="72D20C33">
            <w:pPr>
              <w:rPr>
                <w:rFonts w:ascii="Times New Roman" w:hAnsi="Times New Roman" w:eastAsia="宋体"/>
                <w:b/>
                <w:color w:val="auto"/>
                <w:sz w:val="18"/>
                <w:szCs w:val="18"/>
              </w:rPr>
            </w:pPr>
          </w:p>
        </w:tc>
      </w:tr>
      <w:tr w14:paraId="3058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 w:type="pct"/>
            <w:vMerge w:val="continue"/>
            <w:vAlign w:val="center"/>
          </w:tcPr>
          <w:p w14:paraId="27B7FE87">
            <w:pPr>
              <w:jc w:val="center"/>
              <w:rPr>
                <w:rFonts w:ascii="Times New Roman" w:hAnsi="Times New Roman" w:eastAsia="宋体"/>
                <w:color w:val="auto"/>
                <w:sz w:val="18"/>
                <w:szCs w:val="18"/>
              </w:rPr>
            </w:pPr>
          </w:p>
        </w:tc>
        <w:tc>
          <w:tcPr>
            <w:tcW w:w="344" w:type="pct"/>
            <w:vAlign w:val="center"/>
          </w:tcPr>
          <w:p w14:paraId="300CE0E3">
            <w:pPr>
              <w:rPr>
                <w:rFonts w:ascii="Times New Roman" w:hAnsi="Times New Roman" w:eastAsia="宋体"/>
                <w:color w:val="auto"/>
                <w:sz w:val="18"/>
                <w:szCs w:val="18"/>
              </w:rPr>
            </w:pPr>
          </w:p>
        </w:tc>
        <w:tc>
          <w:tcPr>
            <w:tcW w:w="426" w:type="pct"/>
            <w:gridSpan w:val="2"/>
            <w:vAlign w:val="center"/>
          </w:tcPr>
          <w:p w14:paraId="2C68C054">
            <w:pPr>
              <w:rPr>
                <w:rFonts w:ascii="Times New Roman" w:hAnsi="Times New Roman" w:eastAsia="宋体"/>
                <w:color w:val="auto"/>
                <w:sz w:val="18"/>
                <w:szCs w:val="18"/>
              </w:rPr>
            </w:pPr>
          </w:p>
        </w:tc>
        <w:tc>
          <w:tcPr>
            <w:tcW w:w="555" w:type="pct"/>
            <w:gridSpan w:val="3"/>
            <w:vAlign w:val="center"/>
          </w:tcPr>
          <w:p w14:paraId="57F5B19A">
            <w:pPr>
              <w:rPr>
                <w:rFonts w:ascii="Times New Roman" w:hAnsi="Times New Roman" w:eastAsia="宋体"/>
                <w:color w:val="auto"/>
                <w:sz w:val="18"/>
                <w:szCs w:val="18"/>
              </w:rPr>
            </w:pPr>
          </w:p>
        </w:tc>
        <w:tc>
          <w:tcPr>
            <w:tcW w:w="747" w:type="pct"/>
            <w:gridSpan w:val="4"/>
            <w:vAlign w:val="center"/>
          </w:tcPr>
          <w:p w14:paraId="2B1B59B0">
            <w:pPr>
              <w:rPr>
                <w:rFonts w:ascii="Times New Roman" w:hAnsi="Times New Roman" w:eastAsia="宋体"/>
                <w:color w:val="auto"/>
                <w:sz w:val="18"/>
                <w:szCs w:val="18"/>
              </w:rPr>
            </w:pPr>
          </w:p>
        </w:tc>
        <w:tc>
          <w:tcPr>
            <w:tcW w:w="396" w:type="pct"/>
            <w:vAlign w:val="center"/>
          </w:tcPr>
          <w:p w14:paraId="18CF83B5">
            <w:pPr>
              <w:rPr>
                <w:rFonts w:ascii="Times New Roman" w:hAnsi="Times New Roman" w:eastAsia="宋体"/>
                <w:color w:val="auto"/>
                <w:sz w:val="18"/>
                <w:szCs w:val="18"/>
              </w:rPr>
            </w:pPr>
          </w:p>
        </w:tc>
        <w:tc>
          <w:tcPr>
            <w:tcW w:w="1069" w:type="pct"/>
            <w:gridSpan w:val="3"/>
            <w:vAlign w:val="center"/>
          </w:tcPr>
          <w:p w14:paraId="5854B6E7">
            <w:pPr>
              <w:rPr>
                <w:rFonts w:ascii="Times New Roman" w:hAnsi="Times New Roman" w:eastAsia="宋体"/>
                <w:color w:val="auto"/>
                <w:sz w:val="18"/>
                <w:szCs w:val="18"/>
              </w:rPr>
            </w:pPr>
          </w:p>
        </w:tc>
        <w:tc>
          <w:tcPr>
            <w:tcW w:w="544" w:type="pct"/>
            <w:vAlign w:val="center"/>
          </w:tcPr>
          <w:p w14:paraId="6E3A1D28">
            <w:pPr>
              <w:rPr>
                <w:rFonts w:ascii="Times New Roman" w:hAnsi="Times New Roman" w:eastAsia="宋体"/>
                <w:color w:val="auto"/>
                <w:sz w:val="18"/>
                <w:szCs w:val="18"/>
              </w:rPr>
            </w:pPr>
          </w:p>
        </w:tc>
        <w:tc>
          <w:tcPr>
            <w:tcW w:w="565" w:type="pct"/>
            <w:vAlign w:val="center"/>
          </w:tcPr>
          <w:p w14:paraId="7FF091FE">
            <w:pPr>
              <w:rPr>
                <w:rFonts w:ascii="Times New Roman" w:hAnsi="Times New Roman" w:eastAsia="宋体"/>
                <w:b/>
                <w:color w:val="auto"/>
                <w:sz w:val="18"/>
                <w:szCs w:val="18"/>
              </w:rPr>
            </w:pPr>
          </w:p>
        </w:tc>
      </w:tr>
      <w:tr w14:paraId="7882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332" w:type="pct"/>
            <w:gridSpan w:val="10"/>
            <w:vAlign w:val="center"/>
          </w:tcPr>
          <w:p w14:paraId="30851590">
            <w:pPr>
              <w:spacing w:line="240" w:lineRule="exact"/>
              <w:rPr>
                <w:rFonts w:ascii="Times New Roman" w:hAnsi="Times New Roman" w:eastAsia="宋体"/>
                <w:color w:val="auto"/>
                <w:sz w:val="18"/>
                <w:szCs w:val="18"/>
              </w:rPr>
            </w:pPr>
            <w:r>
              <w:rPr>
                <w:rFonts w:hint="eastAsia" w:ascii="Times New Roman" w:hAnsi="Times New Roman" w:eastAsia="宋体"/>
                <w:color w:val="auto"/>
                <w:sz w:val="18"/>
                <w:szCs w:val="18"/>
              </w:rPr>
              <w:t>不良反应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事件名称</w:t>
            </w:r>
            <w:r>
              <w:rPr>
                <w:rFonts w:ascii="Times New Roman" w:hAnsi="Times New Roman" w:eastAsia="宋体"/>
                <w:color w:val="auto"/>
                <w:sz w:val="18"/>
                <w:szCs w:val="18"/>
              </w:rPr>
              <w:t>：</w:t>
            </w:r>
          </w:p>
        </w:tc>
        <w:tc>
          <w:tcPr>
            <w:tcW w:w="2667" w:type="pct"/>
            <w:gridSpan w:val="7"/>
            <w:vAlign w:val="center"/>
          </w:tcPr>
          <w:p w14:paraId="010B2306">
            <w:pPr>
              <w:spacing w:line="240" w:lineRule="exact"/>
              <w:rPr>
                <w:rFonts w:ascii="Times New Roman" w:hAnsi="Times New Roman" w:eastAsia="宋体"/>
                <w:color w:val="auto"/>
                <w:sz w:val="18"/>
                <w:szCs w:val="18"/>
              </w:rPr>
            </w:pPr>
            <w:r>
              <w:rPr>
                <w:rFonts w:hint="eastAsia" w:ascii="Times New Roman" w:hAnsi="Times New Roman" w:eastAsia="宋体"/>
                <w:color w:val="auto"/>
                <w:sz w:val="18"/>
                <w:szCs w:val="18"/>
              </w:rPr>
              <w:t>不良反应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事件发生时间</w:t>
            </w:r>
            <w:r>
              <w:rPr>
                <w:rFonts w:ascii="Times New Roman" w:hAnsi="Times New Roman" w:eastAsia="宋体"/>
                <w:color w:val="auto"/>
                <w:sz w:val="18"/>
                <w:szCs w:val="18"/>
              </w:rPr>
              <w:t>：</w:t>
            </w:r>
            <w:r>
              <w:rPr>
                <w:rFonts w:hint="eastAsia" w:ascii="Times New Roman" w:hAnsi="Times New Roman" w:eastAsia="宋体"/>
                <w:color w:val="auto"/>
                <w:sz w:val="18"/>
                <w:szCs w:val="18"/>
              </w:rPr>
              <w:t xml:space="preserve">    年  月  日</w:t>
            </w:r>
          </w:p>
        </w:tc>
      </w:tr>
      <w:tr w14:paraId="7482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000" w:type="pct"/>
            <w:gridSpan w:val="17"/>
          </w:tcPr>
          <w:p w14:paraId="0B2C6D4B">
            <w:pPr>
              <w:rPr>
                <w:rFonts w:ascii="Times New Roman" w:hAnsi="Times New Roman" w:eastAsia="宋体"/>
                <w:color w:val="auto"/>
                <w:sz w:val="18"/>
                <w:szCs w:val="18"/>
              </w:rPr>
            </w:pPr>
            <w:r>
              <w:rPr>
                <w:rFonts w:hint="eastAsia" w:ascii="Times New Roman" w:hAnsi="Times New Roman" w:eastAsia="宋体"/>
                <w:color w:val="auto"/>
                <w:sz w:val="18"/>
                <w:szCs w:val="18"/>
              </w:rPr>
              <w:t>不良反应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事件过程描述（包括症状、体征、临床检验等）及处理情况（可附页）：</w:t>
            </w:r>
          </w:p>
          <w:p w14:paraId="2933098B">
            <w:pPr>
              <w:rPr>
                <w:rFonts w:ascii="Times New Roman" w:hAnsi="Times New Roman" w:eastAsia="宋体"/>
                <w:color w:val="auto"/>
                <w:sz w:val="18"/>
                <w:szCs w:val="18"/>
              </w:rPr>
            </w:pPr>
          </w:p>
        </w:tc>
      </w:tr>
      <w:tr w14:paraId="6C3D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000" w:type="pct"/>
            <w:gridSpan w:val="17"/>
            <w:vAlign w:val="center"/>
          </w:tcPr>
          <w:p w14:paraId="0A365938">
            <w:pPr>
              <w:rPr>
                <w:rFonts w:ascii="Times New Roman" w:hAnsi="Times New Roman" w:eastAsia="宋体"/>
                <w:color w:val="auto"/>
                <w:sz w:val="18"/>
                <w:szCs w:val="18"/>
              </w:rPr>
            </w:pPr>
            <w:r>
              <w:rPr>
                <w:rFonts w:hint="eastAsia" w:ascii="Times New Roman" w:hAnsi="Times New Roman" w:eastAsia="宋体"/>
                <w:color w:val="auto"/>
                <w:sz w:val="18"/>
                <w:szCs w:val="18"/>
              </w:rPr>
              <w:t>不良反应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事件的结果</w:t>
            </w:r>
            <w:r>
              <w:rPr>
                <w:rFonts w:ascii="Times New Roman" w:hAnsi="Times New Roman" w:eastAsia="宋体"/>
                <w:color w:val="auto"/>
                <w:sz w:val="18"/>
                <w:szCs w:val="18"/>
              </w:rPr>
              <w:t>：</w:t>
            </w:r>
            <w:r>
              <w:rPr>
                <w:rFonts w:hint="eastAsia" w:ascii="Times New Roman" w:hAnsi="Times New Roman" w:eastAsia="宋体"/>
                <w:color w:val="auto"/>
                <w:sz w:val="18"/>
                <w:szCs w:val="18"/>
              </w:rPr>
              <w:t>痊愈□    好转□    未好转□    不详□    有后遗症□  表现</w:t>
            </w:r>
            <w:r>
              <w:rPr>
                <w:rFonts w:ascii="Times New Roman" w:hAnsi="Times New Roman" w:eastAsia="宋体"/>
                <w:color w:val="auto"/>
                <w:sz w:val="18"/>
                <w:szCs w:val="18"/>
              </w:rPr>
              <w:t>：</w:t>
            </w:r>
            <w:r>
              <w:rPr>
                <w:rFonts w:hint="eastAsia" w:ascii="Times New Roman" w:hAnsi="Times New Roman" w:eastAsia="宋体"/>
                <w:color w:val="auto"/>
                <w:sz w:val="18"/>
                <w:szCs w:val="18"/>
                <w:u w:val="single"/>
              </w:rPr>
              <w:t xml:space="preserve">                 </w:t>
            </w:r>
          </w:p>
          <w:p w14:paraId="7F601C79">
            <w:pPr>
              <w:spacing w:line="240" w:lineRule="exact"/>
              <w:ind w:firstLine="1980" w:firstLineChars="1100"/>
              <w:rPr>
                <w:rFonts w:ascii="Times New Roman" w:hAnsi="Times New Roman" w:eastAsia="宋体"/>
                <w:color w:val="auto"/>
                <w:sz w:val="18"/>
                <w:szCs w:val="18"/>
              </w:rPr>
            </w:pPr>
            <w:r>
              <w:rPr>
                <w:rFonts w:hint="eastAsia" w:ascii="Times New Roman" w:hAnsi="Times New Roman" w:eastAsia="宋体"/>
                <w:color w:val="auto"/>
                <w:sz w:val="18"/>
                <w:szCs w:val="18"/>
              </w:rPr>
              <w:t>死亡□</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 xml:space="preserve">     直接死因</w:t>
            </w:r>
            <w:r>
              <w:rPr>
                <w:rFonts w:ascii="Times New Roman" w:hAnsi="Times New Roman" w:eastAsia="宋体"/>
                <w:color w:val="auto"/>
                <w:sz w:val="18"/>
                <w:szCs w:val="18"/>
              </w:rPr>
              <w:t>：</w:t>
            </w:r>
            <w:r>
              <w:rPr>
                <w:rFonts w:hint="eastAsia" w:ascii="Times New Roman" w:hAnsi="Times New Roman" w:eastAsia="宋体"/>
                <w:color w:val="auto"/>
                <w:sz w:val="18"/>
                <w:szCs w:val="18"/>
                <w:u w:val="single"/>
              </w:rPr>
              <w:t xml:space="preserve">                     </w:t>
            </w:r>
            <w:r>
              <w:rPr>
                <w:rFonts w:hint="eastAsia" w:ascii="Times New Roman" w:hAnsi="Times New Roman" w:eastAsia="宋体"/>
                <w:color w:val="auto"/>
                <w:sz w:val="18"/>
                <w:szCs w:val="18"/>
              </w:rPr>
              <w:t>死亡时间</w:t>
            </w:r>
            <w:r>
              <w:rPr>
                <w:rFonts w:ascii="Times New Roman" w:hAnsi="Times New Roman" w:eastAsia="宋体"/>
                <w:color w:val="auto"/>
                <w:sz w:val="18"/>
                <w:szCs w:val="18"/>
              </w:rPr>
              <w:t>：</w:t>
            </w:r>
            <w:r>
              <w:rPr>
                <w:rFonts w:hint="eastAsia" w:ascii="Times New Roman" w:hAnsi="Times New Roman" w:eastAsia="宋体"/>
                <w:color w:val="auto"/>
                <w:sz w:val="18"/>
                <w:szCs w:val="18"/>
              </w:rPr>
              <w:t xml:space="preserve">    年  月  日</w:t>
            </w:r>
          </w:p>
        </w:tc>
      </w:tr>
      <w:tr w14:paraId="55CD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000" w:type="pct"/>
            <w:gridSpan w:val="17"/>
            <w:vAlign w:val="center"/>
          </w:tcPr>
          <w:p w14:paraId="1A64693F">
            <w:pPr>
              <w:spacing w:line="240" w:lineRule="exact"/>
              <w:rPr>
                <w:rFonts w:ascii="Times New Roman" w:hAnsi="Times New Roman" w:eastAsia="宋体"/>
                <w:color w:val="auto"/>
                <w:sz w:val="18"/>
                <w:szCs w:val="18"/>
              </w:rPr>
            </w:pPr>
            <w:r>
              <w:rPr>
                <w:rFonts w:hint="eastAsia" w:ascii="Times New Roman" w:hAnsi="Times New Roman" w:eastAsia="宋体"/>
                <w:color w:val="auto"/>
                <w:sz w:val="18"/>
                <w:szCs w:val="18"/>
              </w:rPr>
              <w:t>停药或减量后，反应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事件是否消失或减轻？</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 xml:space="preserve">        是□</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否□</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不明□</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未停药或未减量□</w:t>
            </w:r>
          </w:p>
          <w:p w14:paraId="7C63C2A1">
            <w:pPr>
              <w:spacing w:line="240" w:lineRule="exact"/>
              <w:rPr>
                <w:rFonts w:ascii="Times New Roman" w:hAnsi="Times New Roman" w:eastAsia="宋体"/>
                <w:color w:val="auto"/>
                <w:sz w:val="18"/>
                <w:szCs w:val="18"/>
              </w:rPr>
            </w:pPr>
            <w:r>
              <w:rPr>
                <w:rFonts w:hint="eastAsia" w:ascii="Times New Roman" w:hAnsi="Times New Roman" w:eastAsia="宋体"/>
                <w:color w:val="auto"/>
                <w:sz w:val="18"/>
                <w:szCs w:val="18"/>
              </w:rPr>
              <w:t>再次使用可疑药品后是否再次出现同样反应</w:t>
            </w:r>
            <w:r>
              <w:rPr>
                <w:rFonts w:hint="eastAsia" w:ascii="Times New Roman" w:hAnsi="Times New Roman" w:eastAsia="宋体" w:cstheme="minorEastAsia"/>
                <w:snapToGrid w:val="0"/>
                <w:color w:val="auto"/>
                <w:kern w:val="0"/>
                <w:szCs w:val="21"/>
                <w:lang w:bidi="ar"/>
              </w:rPr>
              <w:t>/</w:t>
            </w:r>
            <w:r>
              <w:rPr>
                <w:rFonts w:hint="eastAsia" w:ascii="Times New Roman" w:hAnsi="Times New Roman" w:eastAsia="宋体"/>
                <w:color w:val="auto"/>
                <w:sz w:val="18"/>
                <w:szCs w:val="18"/>
              </w:rPr>
              <w:t>事件？</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是□</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否□</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不明□</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未再使用□</w:t>
            </w:r>
          </w:p>
        </w:tc>
      </w:tr>
      <w:tr w14:paraId="79B2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000" w:type="pct"/>
            <w:gridSpan w:val="17"/>
            <w:vAlign w:val="center"/>
          </w:tcPr>
          <w:p w14:paraId="1D4487FF">
            <w:pPr>
              <w:spacing w:line="240" w:lineRule="exact"/>
              <w:rPr>
                <w:rFonts w:ascii="Times New Roman" w:hAnsi="Times New Roman" w:eastAsia="宋体"/>
                <w:color w:val="auto"/>
                <w:sz w:val="18"/>
                <w:szCs w:val="18"/>
              </w:rPr>
            </w:pPr>
            <w:r>
              <w:rPr>
                <w:rFonts w:hint="eastAsia" w:ascii="Times New Roman" w:hAnsi="Times New Roman" w:eastAsia="宋体"/>
                <w:color w:val="auto"/>
                <w:sz w:val="18"/>
                <w:szCs w:val="18"/>
              </w:rPr>
              <w:t>对原患疾病的影响： 不明显□   病程延长□   病情加重□   导致后遗症□   导致死亡□</w:t>
            </w:r>
          </w:p>
        </w:tc>
      </w:tr>
      <w:tr w14:paraId="7589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24" w:type="pct"/>
            <w:gridSpan w:val="3"/>
            <w:vAlign w:val="center"/>
          </w:tcPr>
          <w:p w14:paraId="79A7D1B2">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关联性评价</w:t>
            </w:r>
          </w:p>
        </w:tc>
        <w:tc>
          <w:tcPr>
            <w:tcW w:w="4175" w:type="pct"/>
            <w:gridSpan w:val="14"/>
            <w:vAlign w:val="center"/>
          </w:tcPr>
          <w:p w14:paraId="29AD6CC9">
            <w:pPr>
              <w:spacing w:line="280" w:lineRule="exact"/>
              <w:rPr>
                <w:rFonts w:ascii="Times New Roman" w:hAnsi="Times New Roman" w:eastAsia="宋体"/>
                <w:color w:val="auto"/>
                <w:sz w:val="18"/>
                <w:szCs w:val="18"/>
              </w:rPr>
            </w:pPr>
            <w:r>
              <w:rPr>
                <w:rFonts w:hint="eastAsia" w:ascii="Times New Roman" w:hAnsi="Times New Roman" w:eastAsia="宋体"/>
                <w:color w:val="auto"/>
                <w:sz w:val="18"/>
                <w:szCs w:val="18"/>
              </w:rPr>
              <w:t>报告人评价：肯定□ 很可能□ 可能□ 可能无关□ 待评价□</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无法评价□</w:t>
            </w:r>
            <w:r>
              <w:rPr>
                <w:rFonts w:ascii="Times New Roman" w:hAnsi="Times New Roman" w:eastAsia="宋体"/>
                <w:color w:val="auto"/>
                <w:sz w:val="18"/>
                <w:szCs w:val="18"/>
              </w:rPr>
              <w:t xml:space="preserve"> </w:t>
            </w:r>
            <w:r>
              <w:rPr>
                <w:rFonts w:hint="eastAsia" w:ascii="Times New Roman" w:hAnsi="Times New Roman" w:eastAsia="宋体"/>
                <w:color w:val="auto"/>
                <w:sz w:val="18"/>
                <w:szCs w:val="18"/>
              </w:rPr>
              <w:t xml:space="preserve">   签名</w:t>
            </w:r>
            <w:r>
              <w:rPr>
                <w:rFonts w:ascii="Times New Roman" w:hAnsi="Times New Roman" w:eastAsia="宋体"/>
                <w:color w:val="auto"/>
                <w:sz w:val="18"/>
                <w:szCs w:val="18"/>
              </w:rPr>
              <w:t>：</w:t>
            </w:r>
          </w:p>
          <w:p w14:paraId="67CFC0D3">
            <w:pPr>
              <w:spacing w:line="280" w:lineRule="exact"/>
              <w:rPr>
                <w:rFonts w:ascii="Times New Roman" w:hAnsi="Times New Roman" w:eastAsia="宋体"/>
                <w:color w:val="auto"/>
                <w:sz w:val="18"/>
                <w:szCs w:val="18"/>
              </w:rPr>
            </w:pPr>
            <w:r>
              <w:rPr>
                <w:rFonts w:hint="eastAsia" w:ascii="Times New Roman" w:hAnsi="Times New Roman" w:eastAsia="宋体"/>
                <w:color w:val="auto"/>
                <w:sz w:val="18"/>
                <w:szCs w:val="18"/>
              </w:rPr>
              <w:t>报告单位评价：肯定□ 很可能□ 可能□ 可能无关□ 待评价□ 无法评价□  签名</w:t>
            </w:r>
            <w:r>
              <w:rPr>
                <w:rFonts w:ascii="Times New Roman" w:hAnsi="Times New Roman" w:eastAsia="宋体"/>
                <w:color w:val="auto"/>
                <w:sz w:val="18"/>
                <w:szCs w:val="18"/>
              </w:rPr>
              <w:t>：</w:t>
            </w:r>
          </w:p>
        </w:tc>
      </w:tr>
      <w:tr w14:paraId="79A6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4" w:type="pct"/>
            <w:gridSpan w:val="3"/>
            <w:vMerge w:val="restart"/>
            <w:vAlign w:val="center"/>
          </w:tcPr>
          <w:p w14:paraId="53A3D9F6">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报告人信息</w:t>
            </w:r>
          </w:p>
        </w:tc>
        <w:tc>
          <w:tcPr>
            <w:tcW w:w="1421" w:type="pct"/>
            <w:gridSpan w:val="6"/>
            <w:vAlign w:val="center"/>
          </w:tcPr>
          <w:p w14:paraId="0403D0CA">
            <w:pPr>
              <w:rPr>
                <w:rFonts w:ascii="Times New Roman" w:hAnsi="Times New Roman" w:eastAsia="宋体"/>
                <w:color w:val="auto"/>
                <w:sz w:val="18"/>
                <w:szCs w:val="18"/>
              </w:rPr>
            </w:pPr>
            <w:r>
              <w:rPr>
                <w:rFonts w:hint="eastAsia" w:ascii="Times New Roman" w:hAnsi="Times New Roman" w:eastAsia="宋体"/>
                <w:color w:val="auto"/>
                <w:sz w:val="18"/>
                <w:szCs w:val="18"/>
              </w:rPr>
              <w:t>联系电话：</w:t>
            </w:r>
          </w:p>
        </w:tc>
        <w:tc>
          <w:tcPr>
            <w:tcW w:w="2754" w:type="pct"/>
            <w:gridSpan w:val="8"/>
            <w:vAlign w:val="center"/>
          </w:tcPr>
          <w:p w14:paraId="3E16FF4B">
            <w:pPr>
              <w:rPr>
                <w:rFonts w:ascii="Times New Roman" w:hAnsi="Times New Roman" w:eastAsia="宋体"/>
                <w:color w:val="auto"/>
                <w:sz w:val="18"/>
                <w:szCs w:val="18"/>
              </w:rPr>
            </w:pPr>
            <w:r>
              <w:rPr>
                <w:rFonts w:hint="eastAsia" w:ascii="Times New Roman" w:hAnsi="Times New Roman" w:eastAsia="宋体"/>
                <w:color w:val="auto"/>
                <w:sz w:val="18"/>
                <w:szCs w:val="18"/>
              </w:rPr>
              <w:t>职业：医生□ 药师□ 护士□    其他□</w:t>
            </w:r>
            <w:r>
              <w:rPr>
                <w:rFonts w:hint="eastAsia" w:ascii="Times New Roman" w:hAnsi="Times New Roman" w:eastAsia="宋体"/>
                <w:color w:val="auto"/>
                <w:sz w:val="18"/>
                <w:szCs w:val="18"/>
                <w:u w:val="single"/>
              </w:rPr>
              <w:t xml:space="preserve">     </w:t>
            </w:r>
          </w:p>
        </w:tc>
      </w:tr>
      <w:tr w14:paraId="0AC0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24" w:type="pct"/>
            <w:gridSpan w:val="3"/>
            <w:vMerge w:val="continue"/>
            <w:vAlign w:val="center"/>
          </w:tcPr>
          <w:p w14:paraId="32287462">
            <w:pPr>
              <w:jc w:val="center"/>
              <w:rPr>
                <w:rFonts w:ascii="Times New Roman" w:hAnsi="Times New Roman" w:eastAsia="宋体"/>
                <w:color w:val="auto"/>
                <w:sz w:val="18"/>
                <w:szCs w:val="18"/>
              </w:rPr>
            </w:pPr>
          </w:p>
        </w:tc>
        <w:tc>
          <w:tcPr>
            <w:tcW w:w="1996" w:type="pct"/>
            <w:gridSpan w:val="9"/>
            <w:vAlign w:val="center"/>
          </w:tcPr>
          <w:p w14:paraId="356C3610">
            <w:pPr>
              <w:rPr>
                <w:rFonts w:ascii="Times New Roman" w:hAnsi="Times New Roman" w:eastAsia="宋体"/>
                <w:color w:val="auto"/>
                <w:sz w:val="18"/>
                <w:szCs w:val="18"/>
              </w:rPr>
            </w:pPr>
            <w:r>
              <w:rPr>
                <w:rFonts w:hint="eastAsia" w:ascii="Times New Roman" w:hAnsi="Times New Roman" w:eastAsia="宋体"/>
                <w:color w:val="auto"/>
                <w:sz w:val="18"/>
                <w:szCs w:val="18"/>
              </w:rPr>
              <w:t>电子邮箱：</w:t>
            </w:r>
          </w:p>
        </w:tc>
        <w:tc>
          <w:tcPr>
            <w:tcW w:w="2179" w:type="pct"/>
            <w:gridSpan w:val="5"/>
            <w:vAlign w:val="center"/>
          </w:tcPr>
          <w:p w14:paraId="490F7D74">
            <w:pPr>
              <w:rPr>
                <w:rFonts w:ascii="Times New Roman" w:hAnsi="Times New Roman" w:eastAsia="宋体"/>
                <w:color w:val="auto"/>
                <w:sz w:val="18"/>
                <w:szCs w:val="18"/>
              </w:rPr>
            </w:pPr>
            <w:r>
              <w:rPr>
                <w:rFonts w:hint="eastAsia" w:ascii="Times New Roman" w:hAnsi="Times New Roman" w:eastAsia="宋体"/>
                <w:color w:val="auto"/>
                <w:sz w:val="18"/>
                <w:szCs w:val="18"/>
              </w:rPr>
              <w:t>签名：</w:t>
            </w:r>
          </w:p>
        </w:tc>
      </w:tr>
      <w:tr w14:paraId="59A2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24" w:type="pct"/>
            <w:gridSpan w:val="3"/>
            <w:vAlign w:val="center"/>
          </w:tcPr>
          <w:p w14:paraId="2EAE6BE6">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报告单位信息</w:t>
            </w:r>
          </w:p>
        </w:tc>
        <w:tc>
          <w:tcPr>
            <w:tcW w:w="1202" w:type="pct"/>
            <w:gridSpan w:val="5"/>
            <w:vAlign w:val="center"/>
          </w:tcPr>
          <w:p w14:paraId="4DAD96BA">
            <w:pPr>
              <w:rPr>
                <w:rFonts w:ascii="Times New Roman" w:hAnsi="Times New Roman" w:eastAsia="宋体"/>
                <w:color w:val="auto"/>
                <w:sz w:val="18"/>
                <w:szCs w:val="18"/>
              </w:rPr>
            </w:pPr>
            <w:r>
              <w:rPr>
                <w:rFonts w:hint="eastAsia" w:ascii="Times New Roman" w:hAnsi="Times New Roman" w:eastAsia="宋体"/>
                <w:color w:val="auto"/>
                <w:sz w:val="18"/>
                <w:szCs w:val="18"/>
              </w:rPr>
              <w:t>单位名称：</w:t>
            </w:r>
          </w:p>
        </w:tc>
        <w:tc>
          <w:tcPr>
            <w:tcW w:w="794" w:type="pct"/>
            <w:gridSpan w:val="4"/>
            <w:vAlign w:val="center"/>
          </w:tcPr>
          <w:p w14:paraId="0AF043D7">
            <w:pPr>
              <w:rPr>
                <w:rFonts w:ascii="Times New Roman" w:hAnsi="Times New Roman" w:eastAsia="宋体"/>
                <w:color w:val="auto"/>
                <w:sz w:val="18"/>
                <w:szCs w:val="18"/>
              </w:rPr>
            </w:pPr>
            <w:r>
              <w:rPr>
                <w:rFonts w:hint="eastAsia" w:ascii="Times New Roman" w:hAnsi="Times New Roman" w:eastAsia="宋体"/>
                <w:color w:val="auto"/>
                <w:sz w:val="18"/>
                <w:szCs w:val="18"/>
              </w:rPr>
              <w:t>联系人：</w:t>
            </w:r>
          </w:p>
        </w:tc>
        <w:tc>
          <w:tcPr>
            <w:tcW w:w="863" w:type="pct"/>
            <w:gridSpan w:val="2"/>
            <w:vAlign w:val="center"/>
          </w:tcPr>
          <w:p w14:paraId="2D4894F1">
            <w:pPr>
              <w:rPr>
                <w:rFonts w:ascii="Times New Roman" w:hAnsi="Times New Roman" w:eastAsia="宋体"/>
                <w:color w:val="auto"/>
                <w:sz w:val="18"/>
                <w:szCs w:val="18"/>
              </w:rPr>
            </w:pPr>
            <w:r>
              <w:rPr>
                <w:rFonts w:hint="eastAsia" w:ascii="Times New Roman" w:hAnsi="Times New Roman" w:eastAsia="宋体"/>
                <w:color w:val="auto"/>
                <w:sz w:val="18"/>
                <w:szCs w:val="18"/>
              </w:rPr>
              <w:t>电话：</w:t>
            </w:r>
          </w:p>
        </w:tc>
        <w:tc>
          <w:tcPr>
            <w:tcW w:w="1316" w:type="pct"/>
            <w:gridSpan w:val="3"/>
            <w:vAlign w:val="center"/>
          </w:tcPr>
          <w:p w14:paraId="2821D0FC">
            <w:pPr>
              <w:rPr>
                <w:rFonts w:ascii="Times New Roman" w:hAnsi="Times New Roman" w:eastAsia="宋体"/>
                <w:color w:val="auto"/>
                <w:sz w:val="18"/>
                <w:szCs w:val="18"/>
              </w:rPr>
            </w:pPr>
            <w:r>
              <w:rPr>
                <w:rFonts w:hint="eastAsia" w:ascii="Times New Roman" w:hAnsi="Times New Roman" w:eastAsia="宋体"/>
                <w:color w:val="auto"/>
                <w:sz w:val="18"/>
                <w:szCs w:val="18"/>
              </w:rPr>
              <w:t>报告日期：年  月  日</w:t>
            </w:r>
          </w:p>
        </w:tc>
      </w:tr>
      <w:tr w14:paraId="26EA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24" w:type="pct"/>
            <w:gridSpan w:val="3"/>
            <w:vAlign w:val="center"/>
          </w:tcPr>
          <w:p w14:paraId="6FFD7BE3">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生产企业请</w:t>
            </w:r>
          </w:p>
          <w:p w14:paraId="6A930518">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填写信息来源</w:t>
            </w:r>
          </w:p>
        </w:tc>
        <w:tc>
          <w:tcPr>
            <w:tcW w:w="4175" w:type="pct"/>
            <w:gridSpan w:val="14"/>
            <w:vAlign w:val="center"/>
          </w:tcPr>
          <w:p w14:paraId="70D383D9">
            <w:pPr>
              <w:rPr>
                <w:rFonts w:ascii="Times New Roman" w:hAnsi="Times New Roman" w:eastAsia="宋体"/>
                <w:color w:val="auto"/>
                <w:sz w:val="18"/>
                <w:szCs w:val="18"/>
              </w:rPr>
            </w:pPr>
            <w:r>
              <w:rPr>
                <w:rFonts w:hint="eastAsia" w:ascii="Times New Roman" w:hAnsi="Times New Roman" w:eastAsia="宋体"/>
                <w:color w:val="auto"/>
                <w:sz w:val="18"/>
                <w:szCs w:val="18"/>
              </w:rPr>
              <w:t>医疗机构□  经营企业□  个人□  文献报道□  上市后研究□  其他□</w:t>
            </w:r>
            <w:r>
              <w:rPr>
                <w:rFonts w:hint="eastAsia" w:ascii="Times New Roman" w:hAnsi="Times New Roman" w:eastAsia="宋体"/>
                <w:color w:val="auto"/>
                <w:sz w:val="18"/>
                <w:szCs w:val="18"/>
                <w:u w:val="single"/>
              </w:rPr>
              <w:t xml:space="preserve">                </w:t>
            </w:r>
          </w:p>
        </w:tc>
      </w:tr>
      <w:tr w14:paraId="7519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24" w:type="pct"/>
            <w:gridSpan w:val="3"/>
            <w:vAlign w:val="center"/>
          </w:tcPr>
          <w:p w14:paraId="4C01BC4F">
            <w:pPr>
              <w:jc w:val="center"/>
              <w:rPr>
                <w:rFonts w:ascii="Times New Roman" w:hAnsi="Times New Roman" w:eastAsia="宋体"/>
                <w:color w:val="auto"/>
                <w:sz w:val="18"/>
                <w:szCs w:val="18"/>
              </w:rPr>
            </w:pPr>
            <w:r>
              <w:rPr>
                <w:rFonts w:hint="eastAsia" w:ascii="Times New Roman" w:hAnsi="Times New Roman" w:eastAsia="宋体"/>
                <w:color w:val="auto"/>
                <w:sz w:val="18"/>
                <w:szCs w:val="18"/>
              </w:rPr>
              <w:t>备注</w:t>
            </w:r>
          </w:p>
        </w:tc>
        <w:tc>
          <w:tcPr>
            <w:tcW w:w="4175" w:type="pct"/>
            <w:gridSpan w:val="14"/>
            <w:vAlign w:val="center"/>
          </w:tcPr>
          <w:p w14:paraId="472166DB">
            <w:pPr>
              <w:rPr>
                <w:rFonts w:ascii="Times New Roman" w:hAnsi="Times New Roman" w:eastAsia="宋体"/>
                <w:color w:val="auto"/>
                <w:sz w:val="18"/>
                <w:szCs w:val="18"/>
              </w:rPr>
            </w:pPr>
          </w:p>
        </w:tc>
      </w:tr>
    </w:tbl>
    <w:p w14:paraId="535FAF41">
      <w:pPr>
        <w:rPr>
          <w:rFonts w:ascii="Times New Roman" w:hAnsi="Times New Roman" w:eastAsia="黑体" w:cs="黑体"/>
          <w:snapToGrid w:val="0"/>
          <w:color w:val="auto"/>
          <w:kern w:val="0"/>
          <w:sz w:val="24"/>
          <w:lang w:bidi="ar"/>
        </w:rPr>
      </w:pPr>
      <w:r>
        <w:rPr>
          <w:rFonts w:hint="eastAsia" w:ascii="Times New Roman" w:hAnsi="Times New Roman" w:eastAsia="黑体" w:cs="黑体"/>
          <w:snapToGrid w:val="0"/>
          <w:color w:val="auto"/>
          <w:kern w:val="0"/>
          <w:sz w:val="24"/>
          <w:lang w:bidi="ar"/>
        </w:rPr>
        <w:br w:type="page"/>
      </w:r>
    </w:p>
    <w:p w14:paraId="2115115E">
      <w:pPr>
        <w:topLinePunct/>
        <w:adjustRightInd w:val="0"/>
        <w:snapToGrid w:val="0"/>
        <w:spacing w:before="0" w:beforeLines="-2147483648" w:line="360" w:lineRule="auto"/>
        <w:outlineLvl w:val="0"/>
        <w:rPr>
          <w:rFonts w:ascii="Times New Roman" w:hAnsi="Times New Roman" w:eastAsia="黑体" w:cs="黑体"/>
          <w:snapToGrid w:val="0"/>
          <w:color w:val="auto"/>
          <w:kern w:val="0"/>
          <w:sz w:val="24"/>
          <w:vertAlign w:val="baseline"/>
          <w:lang w:bidi="ar"/>
        </w:rPr>
      </w:pPr>
      <w:bookmarkStart w:id="244" w:name="_Toc2289"/>
      <w:bookmarkStart w:id="245" w:name="_Toc7819"/>
      <w:bookmarkStart w:id="246" w:name="_Toc14754"/>
      <w:bookmarkStart w:id="247" w:name="_Toc10877"/>
      <w:bookmarkStart w:id="248" w:name="_Toc24579"/>
      <w:bookmarkStart w:id="249" w:name="_Toc31910"/>
      <w:bookmarkStart w:id="250" w:name="_Toc389"/>
      <w:bookmarkStart w:id="251" w:name="_Toc3527"/>
      <w:bookmarkStart w:id="252" w:name="_Toc7913"/>
      <w:bookmarkStart w:id="253" w:name="_Toc21889"/>
      <w:r>
        <w:rPr>
          <w:rFonts w:hint="default" w:ascii="Times New Roman" w:hAnsi="Times New Roman" w:eastAsia="黑体" w:cs="黑体"/>
          <w:snapToGrid w:val="0"/>
          <w:color w:val="auto"/>
          <w:kern w:val="0"/>
          <w:sz w:val="24"/>
          <w:lang w:bidi="ar"/>
        </w:rPr>
        <w:t>5 药品不良反应聚集性事件报告要求</w:t>
      </w:r>
      <w:bookmarkEnd w:id="243"/>
      <w:bookmarkEnd w:id="244"/>
      <w:bookmarkEnd w:id="245"/>
      <w:bookmarkEnd w:id="246"/>
      <w:bookmarkEnd w:id="247"/>
      <w:bookmarkEnd w:id="248"/>
      <w:bookmarkEnd w:id="249"/>
      <w:bookmarkEnd w:id="250"/>
      <w:bookmarkEnd w:id="251"/>
      <w:bookmarkEnd w:id="252"/>
      <w:bookmarkEnd w:id="253"/>
    </w:p>
    <w:p w14:paraId="746FFC9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药品不良反应聚集性事件是指同一批号（或相邻批号）的同一药品在短期内集中出现多例临床表现相似的疑似不良反应，呈现聚集性特点，且怀疑与质量相关或可能存在其他安全风险的事件。</w:t>
      </w:r>
    </w:p>
    <w:p w14:paraId="5652BB2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药品群体不良事件是指同一药品在使用过程中，在相对集中的时间、区域内，对一定数量人群的身体健康或者生命安全造成损害或者威胁，需要予以紧急处置的事件。药品群体事件对社会造成的影响和危害重大，尤其需要关注，要求及时发现、及时处理和及时控制，防止药害事件的扩大和蔓延，避免更多的患者受到伤害。药品群体不良事件在定性之前常称之为“聚集性药品不良事件”。</w:t>
      </w:r>
    </w:p>
    <w:p w14:paraId="49075878">
      <w:pPr>
        <w:topLinePunct/>
        <w:adjustRightInd w:val="0"/>
        <w:snapToGrid w:val="0"/>
        <w:spacing w:line="360" w:lineRule="auto"/>
        <w:ind w:firstLine="480" w:firstLineChars="200"/>
        <w:rPr>
          <w:rFonts w:ascii="Times New Roman" w:hAnsi="Times New Roman" w:eastAsia="宋体" w:cs="Arial"/>
          <w:snapToGrid w:val="0"/>
          <w:color w:val="auto"/>
          <w:kern w:val="0"/>
          <w:sz w:val="18"/>
          <w:szCs w:val="18"/>
        </w:rPr>
      </w:pPr>
      <w:r>
        <w:rPr>
          <w:rFonts w:hint="eastAsia" w:ascii="Times New Roman" w:hAnsi="Times New Roman" w:eastAsia="宋体" w:cstheme="minorEastAsia"/>
          <w:snapToGrid w:val="0"/>
          <w:color w:val="auto"/>
          <w:kern w:val="0"/>
          <w:sz w:val="24"/>
          <w:lang w:bidi="ar"/>
        </w:rPr>
        <w:t>医疗机构发现疑似药品不良反应聚集性事件，应当及时对患者进行救治、采取措施控制风险，并按照规定对涉及的所有病例按照个例药品不良反应要求及时报告，怀疑与药品质量相关或存在其他安全风险的，可</w:t>
      </w:r>
      <w:r>
        <w:rPr>
          <w:rFonts w:ascii="Times New Roman" w:hAnsi="Times New Roman" w:eastAsia="宋体" w:cstheme="minorEastAsia"/>
          <w:snapToGrid w:val="0"/>
          <w:color w:val="auto"/>
          <w:kern w:val="0"/>
          <w:sz w:val="24"/>
          <w:lang w:bidi="ar"/>
        </w:rPr>
        <w:t>通过电话或者传真等方式报药品监督管理部门</w:t>
      </w:r>
      <w:r>
        <w:rPr>
          <w:rFonts w:hint="eastAsia" w:ascii="Times New Roman" w:hAnsi="Times New Roman" w:eastAsia="宋体" w:cstheme="minorEastAsia"/>
          <w:snapToGrid w:val="0"/>
          <w:color w:val="auto"/>
          <w:kern w:val="0"/>
          <w:sz w:val="24"/>
          <w:lang w:bidi="ar"/>
        </w:rPr>
        <w:t>和卫生健康主管部门。</w:t>
      </w:r>
    </w:p>
    <w:p w14:paraId="3835D412">
      <w:pPr>
        <w:rPr>
          <w:rFonts w:ascii="Times New Roman" w:hAnsi="Times New Roman" w:eastAsia="黑体" w:cs="黑体"/>
          <w:snapToGrid w:val="0"/>
          <w:color w:val="auto"/>
          <w:kern w:val="0"/>
          <w:sz w:val="24"/>
          <w:lang w:bidi="ar"/>
        </w:rPr>
      </w:pPr>
      <w:bookmarkStart w:id="254" w:name="_Toc12514"/>
      <w:r>
        <w:rPr>
          <w:rFonts w:hint="eastAsia" w:ascii="Times New Roman" w:hAnsi="Times New Roman" w:eastAsia="黑体" w:cs="黑体"/>
          <w:snapToGrid w:val="0"/>
          <w:color w:val="auto"/>
          <w:kern w:val="0"/>
          <w:sz w:val="24"/>
          <w:lang w:bidi="ar"/>
        </w:rPr>
        <w:br w:type="page"/>
      </w:r>
    </w:p>
    <w:p w14:paraId="0DE6EFA6">
      <w:pPr>
        <w:topLinePunct/>
        <w:adjustRightInd w:val="0"/>
        <w:snapToGrid w:val="0"/>
        <w:spacing w:line="360" w:lineRule="auto"/>
        <w:outlineLvl w:val="0"/>
        <w:rPr>
          <w:rFonts w:ascii="Times New Roman" w:hAnsi="Times New Roman" w:eastAsia="黑体" w:cs="黑体"/>
          <w:snapToGrid w:val="0"/>
          <w:color w:val="auto"/>
          <w:kern w:val="0"/>
          <w:sz w:val="24"/>
          <w:lang w:bidi="ar"/>
        </w:rPr>
      </w:pPr>
      <w:bookmarkStart w:id="255" w:name="_Toc2867"/>
      <w:bookmarkStart w:id="256" w:name="_Toc877"/>
      <w:bookmarkStart w:id="257" w:name="_Toc18389"/>
      <w:bookmarkStart w:id="258" w:name="_Toc15888"/>
      <w:bookmarkStart w:id="259" w:name="_Toc21459"/>
      <w:bookmarkStart w:id="260" w:name="_Toc23991"/>
      <w:bookmarkStart w:id="261" w:name="_Toc10650"/>
      <w:bookmarkStart w:id="262" w:name="_Toc4119"/>
      <w:bookmarkStart w:id="263" w:name="_Toc9168"/>
      <w:bookmarkStart w:id="264" w:name="_Toc124"/>
      <w:r>
        <w:rPr>
          <w:rFonts w:hint="eastAsia" w:ascii="Times New Roman" w:hAnsi="Times New Roman" w:eastAsia="黑体" w:cs="黑体"/>
          <w:snapToGrid w:val="0"/>
          <w:color w:val="auto"/>
          <w:kern w:val="0"/>
          <w:sz w:val="24"/>
          <w:lang w:bidi="ar"/>
        </w:rPr>
        <w:t>6 常见严重药品不良反应的判定标准及案例</w:t>
      </w:r>
      <w:bookmarkEnd w:id="255"/>
      <w:bookmarkEnd w:id="256"/>
      <w:bookmarkEnd w:id="257"/>
      <w:bookmarkEnd w:id="258"/>
      <w:bookmarkEnd w:id="259"/>
      <w:bookmarkEnd w:id="260"/>
      <w:bookmarkEnd w:id="261"/>
      <w:bookmarkEnd w:id="262"/>
      <w:bookmarkEnd w:id="263"/>
      <w:bookmarkEnd w:id="264"/>
    </w:p>
    <w:p w14:paraId="0DBBBD3F">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265" w:name="_Toc24111"/>
      <w:bookmarkStart w:id="266" w:name="_Toc31438"/>
      <w:bookmarkStart w:id="267" w:name="_Toc22715"/>
      <w:bookmarkStart w:id="268" w:name="_Toc18072"/>
      <w:bookmarkStart w:id="269" w:name="_Toc3551"/>
      <w:bookmarkStart w:id="270" w:name="_Toc8286"/>
      <w:bookmarkStart w:id="271" w:name="_Toc29650"/>
      <w:bookmarkStart w:id="272" w:name="_Toc18701"/>
      <w:bookmarkStart w:id="273" w:name="_Toc19500"/>
      <w:bookmarkStart w:id="274" w:name="_Toc4736"/>
      <w:r>
        <w:rPr>
          <w:rFonts w:hint="default" w:ascii="Times New Roman" w:hAnsi="Times New Roman" w:eastAsia="黑体" w:cs="黑体"/>
          <w:snapToGrid w:val="0"/>
          <w:color w:val="auto"/>
          <w:kern w:val="0"/>
          <w:sz w:val="24"/>
          <w:lang w:bidi="ar"/>
        </w:rPr>
        <w:t>6.1 过敏性休克判定评价标准</w:t>
      </w:r>
      <w:bookmarkEnd w:id="265"/>
      <w:bookmarkEnd w:id="266"/>
      <w:bookmarkEnd w:id="267"/>
      <w:bookmarkEnd w:id="268"/>
      <w:bookmarkEnd w:id="269"/>
      <w:bookmarkEnd w:id="270"/>
      <w:bookmarkEnd w:id="271"/>
      <w:bookmarkEnd w:id="272"/>
      <w:bookmarkEnd w:id="273"/>
      <w:bookmarkEnd w:id="274"/>
    </w:p>
    <w:p w14:paraId="7E655916">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6.1.1过敏性休克的临床特点</w:t>
      </w:r>
    </w:p>
    <w:p w14:paraId="05090F4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皮肤粘膜表现：往往是过敏性休克最早且最常出现的征兆，包括有一过性皮肤潮红、周围皮痒、口唇、舌部及四肢末梢麻木感，继之出现各种皮疹，重者可发生血管神经性水肿；还可出现鼻、眼、咽喉粘膜充血、水肿等。</w:t>
      </w:r>
    </w:p>
    <w:p w14:paraId="781AC03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呼吸系统表现：胸闷、气短、呼吸困难、窒息感、发绀等。</w:t>
      </w:r>
    </w:p>
    <w:p w14:paraId="09CB849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心血管系统表现：常可见血压迅速下降，收缩压降至90mmHg以下或比基础血压降低20%或脉压差小于20mmHg。</w:t>
      </w:r>
      <w:r>
        <w:rPr>
          <w:rFonts w:hint="eastAsia" w:ascii="Times New Roman" w:hAnsi="Times New Roman" w:eastAsia="宋体" w:cstheme="minorEastAsia"/>
          <w:snapToGrid w:val="0"/>
          <w:color w:val="auto"/>
          <w:kern w:val="0"/>
          <w:sz w:val="24"/>
          <w:lang w:eastAsia="zh-CN" w:bidi="ar"/>
        </w:rPr>
        <w:t>患者</w:t>
      </w:r>
      <w:r>
        <w:rPr>
          <w:rFonts w:hint="eastAsia" w:ascii="Times New Roman" w:hAnsi="Times New Roman" w:eastAsia="宋体" w:cstheme="minorEastAsia"/>
          <w:snapToGrid w:val="0"/>
          <w:color w:val="auto"/>
          <w:kern w:val="0"/>
          <w:sz w:val="24"/>
          <w:lang w:bidi="ar"/>
        </w:rPr>
        <w:t>还出现心悸、出汗、面色苍白，然后发展为四肢厥冷、发绀、脉搏细弱、心动过速及晕厥等。</w:t>
      </w:r>
    </w:p>
    <w:p w14:paraId="50B2955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神经系统表现：头晕、乏力、眼花、神志淡漠或烦躁不安、大小便失禁、抽搐、昏迷等。</w:t>
      </w:r>
    </w:p>
    <w:p w14:paraId="7CCDFC2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消化系统表现：恶心、呕吐、腹痛、腹胀、腹泻，严重的可出现血性腹泻。</w:t>
      </w:r>
    </w:p>
    <w:p w14:paraId="1AEC213C">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6.1.2过敏性休克的判定标准</w:t>
      </w:r>
    </w:p>
    <w:p w14:paraId="6ED44CA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血压下降为必需指标，再伴有呼吸系统、心血管系统、神经系统表现的1～2个指标即可判定；</w:t>
      </w:r>
    </w:p>
    <w:p w14:paraId="58AB7D3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报告情况符合血压诊断标准，同时临床过程描述中有抗过敏治疗经历，如“肾上腺素、糖皮质激素”治疗后好转的，不良反应名称可归纳为“过敏性休克”；</w:t>
      </w:r>
    </w:p>
    <w:p w14:paraId="477C0A5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报告人认为是过敏性休克，而现有病例报告信息无明确证据反驳的，不良反应名称可归纳为“过敏性休克”，如不良反应过程描述欠缺多，请报告人追踪原始病例，补充报告情况。</w:t>
      </w:r>
    </w:p>
    <w:p w14:paraId="0AB43A9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6.1.3过敏性休克报告案例</w:t>
      </w:r>
    </w:p>
    <w:p w14:paraId="4D8C7ED3">
      <w:pPr>
        <w:spacing w:line="360" w:lineRule="auto"/>
        <w:ind w:firstLine="420" w:firstLineChars="200"/>
        <w:rPr>
          <w:rFonts w:ascii="Times New Roman" w:hAnsi="Times New Roman"/>
          <w:color w:val="auto"/>
        </w:rPr>
      </w:pPr>
      <w:r>
        <w:rPr>
          <w:rFonts w:hint="eastAsia" w:ascii="Times New Roman" w:hAnsi="Times New Roman"/>
          <w:color w:val="auto"/>
        </w:rPr>
        <w:t>高**，女，**岁，汉族，体重50kg，联系方式****，病历号/门诊号：****，原患疾病：胆汁性肝硬</w:t>
      </w:r>
      <w:r>
        <w:rPr>
          <w:rFonts w:hint="eastAsia" w:ascii="Times New Roman" w:hAnsi="Times New Roman"/>
          <w:color w:val="auto"/>
          <w:lang w:val="en-US" w:eastAsia="zh-CN"/>
        </w:rPr>
        <w:t>化</w:t>
      </w:r>
      <w:r>
        <w:rPr>
          <w:rFonts w:hint="eastAsia" w:ascii="Times New Roman" w:hAnsi="Times New Roman"/>
          <w:color w:val="auto"/>
        </w:rPr>
        <w:t>，感染性腹膜炎。既往药品不良反应/事件：无，家族药品不良反应/事件：无。</w:t>
      </w:r>
    </w:p>
    <w:p w14:paraId="2A8EBCC6">
      <w:pPr>
        <w:spacing w:line="360" w:lineRule="auto"/>
        <w:ind w:firstLine="420" w:firstLineChars="200"/>
        <w:rPr>
          <w:rFonts w:ascii="Times New Roman" w:hAnsi="Times New Roman"/>
          <w:color w:val="auto"/>
        </w:rPr>
      </w:pPr>
      <w:r>
        <w:rPr>
          <w:rFonts w:hint="eastAsia" w:ascii="Times New Roman" w:hAnsi="Times New Roman"/>
          <w:color w:val="auto"/>
        </w:rPr>
        <w:t>9月22日患者因感染性腹膜炎使用头孢哌酮钠舒巴坦钠抗感染治疗。15:20护士巡视病房，发现患者输注头孢哌酮钠舒巴坦钠时，突发大汗淋漓，胸闷心慌，皮肤瘙痒不适，立即告知医生，同时监测生命体征：意识清楚，心率85次/分，呼吸37次/分，血压50/31mmHg，SPO</w:t>
      </w:r>
      <w:r>
        <w:rPr>
          <w:rFonts w:hint="eastAsia" w:ascii="Times New Roman" w:hAnsi="Times New Roman"/>
          <w:color w:val="auto"/>
          <w:vertAlign w:val="subscript"/>
        </w:rPr>
        <w:t>2</w:t>
      </w:r>
      <w:r>
        <w:rPr>
          <w:rFonts w:hint="eastAsia" w:ascii="Times New Roman" w:hAnsi="Times New Roman"/>
          <w:color w:val="auto"/>
        </w:rPr>
        <w:t xml:space="preserve"> 70%。遵医嘱立即给予吸氧、上心电监护、建立双静脉通道。15:25心率88次/分，呼吸28次/分，血压55/41mmHg，SPO</w:t>
      </w:r>
      <w:r>
        <w:rPr>
          <w:rFonts w:hint="eastAsia" w:ascii="Times New Roman" w:hAnsi="Times New Roman"/>
          <w:color w:val="auto"/>
          <w:vertAlign w:val="subscript"/>
        </w:rPr>
        <w:t>2</w:t>
      </w:r>
      <w:r>
        <w:rPr>
          <w:rFonts w:hint="eastAsia" w:ascii="Times New Roman" w:hAnsi="Times New Roman"/>
          <w:color w:val="auto"/>
        </w:rPr>
        <w:t xml:space="preserve"> 79%，立即给予肾上腺素0.5mg肌内注射，地塞米松5mg静脉推注。15:30血压69/47mmHg，再次给与肾上腺素0.5mg肌内注射。15:50患者诉胸闷心慌，皮肤瘙痒不适较前有所好转，心率76次/分，呼吸21次/分，血压92/65mmHg，SPO2 97%，提示血压较前恢复。</w:t>
      </w:r>
    </w:p>
    <w:p w14:paraId="7F6185FE">
      <w:pPr>
        <w:spacing w:line="360" w:lineRule="auto"/>
        <w:ind w:firstLine="420" w:firstLineChars="200"/>
        <w:rPr>
          <w:rFonts w:ascii="Times New Roman" w:hAnsi="Times New Roman"/>
          <w:color w:val="auto"/>
        </w:rPr>
      </w:pPr>
      <w:r>
        <w:rPr>
          <w:rFonts w:hint="eastAsia" w:ascii="Times New Roman" w:hAnsi="Times New Roman"/>
          <w:color w:val="auto"/>
        </w:rPr>
        <w:t>关联性评价：患者不良反应发生与药物使用具有时间相关性；头孢哌酮舒巴坦说明书中提示不良反应有过敏性休克；停药后对症处理不良反应减轻（去激发阳性）；未重新使用相关药品（再激发未知）；排除自身疾病或合并用药导致。故关联性评价为很可能。</w:t>
      </w:r>
    </w:p>
    <w:p w14:paraId="1CEBA9ED">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275" w:name="_Toc2227"/>
      <w:bookmarkStart w:id="276" w:name="_Toc27828"/>
      <w:bookmarkStart w:id="277" w:name="_Toc13339"/>
      <w:bookmarkStart w:id="278" w:name="_Toc11068"/>
      <w:bookmarkStart w:id="279" w:name="_Toc575"/>
      <w:bookmarkStart w:id="280" w:name="_Toc4947"/>
      <w:bookmarkStart w:id="281" w:name="_Toc13853"/>
      <w:bookmarkStart w:id="282" w:name="_Toc10921"/>
      <w:bookmarkStart w:id="283" w:name="_Toc27827"/>
      <w:bookmarkStart w:id="284" w:name="_Toc17335"/>
      <w:r>
        <w:rPr>
          <w:rFonts w:hint="default" w:ascii="Times New Roman" w:hAnsi="Times New Roman" w:eastAsia="黑体" w:cs="黑体"/>
          <w:snapToGrid w:val="0"/>
          <w:color w:val="auto"/>
          <w:kern w:val="0"/>
          <w:sz w:val="24"/>
          <w:lang w:bidi="ar"/>
        </w:rPr>
        <w:t>6.2 严重过敏样反应判定评价标准</w:t>
      </w:r>
      <w:bookmarkEnd w:id="275"/>
      <w:bookmarkEnd w:id="276"/>
      <w:bookmarkEnd w:id="277"/>
      <w:bookmarkEnd w:id="278"/>
      <w:bookmarkEnd w:id="279"/>
      <w:bookmarkEnd w:id="280"/>
      <w:bookmarkEnd w:id="281"/>
      <w:bookmarkEnd w:id="282"/>
      <w:bookmarkEnd w:id="283"/>
      <w:bookmarkEnd w:id="284"/>
    </w:p>
    <w:p w14:paraId="4277FB45">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6.2.1过敏样反应的临床特点</w:t>
      </w:r>
    </w:p>
    <w:p w14:paraId="62C3467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皮肤粘膜表现：有一过性皮肤潮红、周围皮痒、口唇、舌部及四肢末梢麻木感，继之出现各种皮疹，重者可发生血管神经性水肿；还可出现鼻、眼、咽喉粘膜充血、水肿等。</w:t>
      </w:r>
    </w:p>
    <w:p w14:paraId="5857D3E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呼吸系统表现：胸闷、气短、呼吸困难、窒息感、发绀等。</w:t>
      </w:r>
    </w:p>
    <w:p w14:paraId="7EB045D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心血管系统表现：</w:t>
      </w:r>
      <w:r>
        <w:rPr>
          <w:rFonts w:hint="eastAsia" w:ascii="Times New Roman" w:hAnsi="Times New Roman" w:eastAsia="宋体" w:cstheme="minorEastAsia"/>
          <w:snapToGrid w:val="0"/>
          <w:color w:val="auto"/>
          <w:kern w:val="0"/>
          <w:sz w:val="24"/>
          <w:lang w:eastAsia="zh-CN" w:bidi="ar"/>
        </w:rPr>
        <w:t>患者</w:t>
      </w:r>
      <w:r>
        <w:rPr>
          <w:rFonts w:hint="eastAsia" w:ascii="Times New Roman" w:hAnsi="Times New Roman" w:eastAsia="宋体" w:cstheme="minorEastAsia"/>
          <w:snapToGrid w:val="0"/>
          <w:color w:val="auto"/>
          <w:kern w:val="0"/>
          <w:sz w:val="24"/>
          <w:lang w:bidi="ar"/>
        </w:rPr>
        <w:t>先有心悸、出汗、面色苍白，然后发展为四肢厥冷、发绀、脉搏细弱、心动过速及晕厥等。</w:t>
      </w:r>
    </w:p>
    <w:p w14:paraId="3FE86B9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神经系统表现：头晕、乏力、眼花、神志淡漠或烦躁不安、大小便失禁、抽搐、昏迷等。</w:t>
      </w:r>
    </w:p>
    <w:p w14:paraId="6889906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消化系统表现：恶心、呕吐、腹痛、腹胀、腹泻，严重的可出现血性腹泻。</w:t>
      </w:r>
    </w:p>
    <w:p w14:paraId="3AB78975">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6.2.2严重过敏样反应判定标准</w:t>
      </w:r>
    </w:p>
    <w:p w14:paraId="2435A68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患者表现类似于过敏性休克，但</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过程描述里无或达不到休克血压指标的严重不良反应；</w:t>
      </w:r>
    </w:p>
    <w:p w14:paraId="235A5AE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患者出现累及三个（含）以上系统且必须含呼吸系统或心血管系统或神经系统损害的严重不良反应；</w:t>
      </w:r>
    </w:p>
    <w:p w14:paraId="3446DFD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患者出现累及三个（含）以上系统损害的不良反应，且需要抢救或者住院治疗才可恢复的严重不良反应。</w:t>
      </w:r>
    </w:p>
    <w:p w14:paraId="5249FAD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如不属于严重过敏样反应，不良反应名称按具体症状填写。</w:t>
      </w:r>
    </w:p>
    <w:p w14:paraId="7C2F52D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6.2.3严重过敏样反应报告案例</w:t>
      </w:r>
    </w:p>
    <w:p w14:paraId="26A68DD0">
      <w:pPr>
        <w:spacing w:line="360" w:lineRule="auto"/>
        <w:ind w:firstLine="420" w:firstLineChars="200"/>
        <w:rPr>
          <w:rFonts w:ascii="Times New Roman" w:hAnsi="Times New Roman"/>
          <w:color w:val="auto"/>
        </w:rPr>
      </w:pPr>
      <w:r>
        <w:rPr>
          <w:rFonts w:hint="eastAsia" w:ascii="Times New Roman" w:hAnsi="Times New Roman"/>
          <w:color w:val="auto"/>
        </w:rPr>
        <w:t>患者**，男，**岁，汉族，体重**kg，联系方式******，病历号/门诊号：****，原患疾病：肺部感染。既往药品不良反应/事件：无，家族药品不良反应/事件：无。</w:t>
      </w:r>
    </w:p>
    <w:p w14:paraId="6CA67E3C">
      <w:pPr>
        <w:spacing w:line="360" w:lineRule="auto"/>
        <w:ind w:firstLine="420" w:firstLineChars="200"/>
        <w:rPr>
          <w:rFonts w:ascii="Times New Roman" w:hAnsi="Times New Roman"/>
          <w:color w:val="auto"/>
        </w:rPr>
      </w:pPr>
      <w:r>
        <w:rPr>
          <w:rFonts w:hint="eastAsia" w:ascii="Times New Roman" w:hAnsi="Times New Roman"/>
          <w:color w:val="auto"/>
        </w:rPr>
        <w:t>8月13日患者因肺部感染给予注射用头孢唑肟钠抗感染治疗。11:13开始输注头孢唑肟，11:30左右患者出现大汗淋漓、面色苍白、心慌胸闷、头晕、呼吸急促，并伴有恶心、呕吐、皮肤泛红出疹等症状。医师考虑药物过敏导致，立即停止输液，监测血压128/78mmHg，血氧饱和度96%，立即给予马来酸氯苯那敏注射液10mg肌肉注射，上心电监护监测生命体征，血压、血氧饱和度未见异常，1小时后症状基本缓解。</w:t>
      </w:r>
    </w:p>
    <w:p w14:paraId="0C513C22">
      <w:pPr>
        <w:spacing w:line="360" w:lineRule="auto"/>
        <w:ind w:firstLine="420" w:firstLineChars="200"/>
        <w:rPr>
          <w:rFonts w:ascii="Times New Roman" w:hAnsi="Times New Roman"/>
          <w:color w:val="auto"/>
        </w:rPr>
      </w:pPr>
      <w:r>
        <w:rPr>
          <w:rFonts w:hint="eastAsia" w:ascii="Times New Roman" w:hAnsi="Times New Roman"/>
          <w:color w:val="auto"/>
        </w:rPr>
        <w:t>关联性评价：患者不良反应发生与药物使用具有时间相关性；头孢唑肟钠说明书上提示不良反应有过敏反应，严重过敏样反应为过敏反应严重的类型；停药后对症处理不良反应减轻（去激发阳性）；但未重新使用相关药品（再激发未知）；排除自身疾病或合并用药导致。故关联性评价为很可能。</w:t>
      </w:r>
    </w:p>
    <w:p w14:paraId="0011610A">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285" w:name="_Toc1989"/>
      <w:bookmarkStart w:id="286" w:name="_Toc3716"/>
      <w:bookmarkStart w:id="287" w:name="_Toc22156"/>
      <w:bookmarkStart w:id="288" w:name="_Toc15972"/>
      <w:bookmarkStart w:id="289" w:name="_Toc14304"/>
      <w:bookmarkStart w:id="290" w:name="_Toc19581"/>
      <w:bookmarkStart w:id="291" w:name="_Toc32232"/>
      <w:bookmarkStart w:id="292" w:name="_Toc27432"/>
      <w:bookmarkStart w:id="293" w:name="_Toc7427"/>
      <w:bookmarkStart w:id="294" w:name="_Toc11228"/>
      <w:r>
        <w:rPr>
          <w:rFonts w:hint="default" w:ascii="Times New Roman" w:hAnsi="Times New Roman" w:eastAsia="黑体" w:cs="黑体"/>
          <w:snapToGrid w:val="0"/>
          <w:color w:val="auto"/>
          <w:kern w:val="0"/>
          <w:sz w:val="24"/>
          <w:lang w:bidi="ar"/>
        </w:rPr>
        <w:t>6.3 重症药疹判定评价标准</w:t>
      </w:r>
      <w:bookmarkEnd w:id="285"/>
      <w:bookmarkEnd w:id="286"/>
      <w:bookmarkEnd w:id="287"/>
      <w:bookmarkEnd w:id="288"/>
      <w:bookmarkEnd w:id="289"/>
      <w:bookmarkEnd w:id="290"/>
      <w:bookmarkEnd w:id="291"/>
      <w:bookmarkEnd w:id="292"/>
      <w:bookmarkEnd w:id="293"/>
      <w:bookmarkEnd w:id="294"/>
    </w:p>
    <w:p w14:paraId="214330F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6.3.1重症药疹的临床特点和诊断标准</w:t>
      </w:r>
    </w:p>
    <w:p w14:paraId="57090B7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（1）大疱性表皮松解型药疹临床特点：①起病急，皮疹多于1～4</w:t>
      </w:r>
      <w:r>
        <w:rPr>
          <w:rFonts w:hint="eastAsia" w:ascii="Times New Roman" w:hAnsi="Times New Roman" w:eastAsia="宋体" w:cstheme="minorEastAsia"/>
          <w:snapToGrid w:val="0"/>
          <w:color w:val="auto"/>
          <w:kern w:val="0"/>
          <w:sz w:val="24"/>
          <w:lang w:val="en-US" w:eastAsia="zh-CN" w:bidi="ar"/>
        </w:rPr>
        <w:t>天</w:t>
      </w:r>
      <w:r>
        <w:rPr>
          <w:rFonts w:hint="eastAsia" w:ascii="Times New Roman" w:hAnsi="Times New Roman" w:eastAsia="宋体" w:cstheme="minorEastAsia"/>
          <w:snapToGrid w:val="0"/>
          <w:color w:val="auto"/>
          <w:kern w:val="0"/>
          <w:sz w:val="24"/>
          <w:lang w:bidi="ar"/>
        </w:rPr>
        <w:t>发病，皮疹累及全身；②皮疹开始为弥漫性鲜红色或紫红色斑片，迅速出现松弛性大疱，尼氏征阳性；③均伴发热，体温常在39~40℃，肝、肾、心、脑、胃肠等内脏器官常有不同程度受累；④病情重、预后较差，死亡率高。诊断要点：符合①、②、③条者。</w:t>
      </w:r>
    </w:p>
    <w:p w14:paraId="2B54CDC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剥脱性皮炎（红皮病）型药疹临床特点：①有一定的潜伏期；②病程长，一般超过1个月；③常伴有发热、淋巴结肿大及内脏损害；④皮疹波及全身，表现为全身红斑、潮红、大片脱屑；⑤病情重。诊断要点：符合③、④条者。</w:t>
      </w:r>
    </w:p>
    <w:p w14:paraId="4BBB357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（3）重症多形红斑型药疹（Stevens-Johnson syndrome）临床特点：①可有流感样前驱症状；②躯干、四肢可见红斑、水疱、大疱、糜烂；③常伴有高热和全身中毒症状（如乏力、白细胞升高、关节肌肉疼痛等），以及肝肾等内脏损害；④眼、鼻、口腔及外生殖器等粘膜糜烂；⑤部分患者可累及呼吸道、消化道、肾脏等内脏。诊断要点：符合②、③、④条者。</w:t>
      </w:r>
    </w:p>
    <w:p w14:paraId="3EABFFED">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6.3.2重症药疹判定标准</w:t>
      </w:r>
    </w:p>
    <w:p w14:paraId="20D49C19">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（1）大疱性表皮松解型药疹；</w:t>
      </w:r>
    </w:p>
    <w:p w14:paraId="248375C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（2）剥脱性皮炎（红皮病）型药疹；</w:t>
      </w:r>
    </w:p>
    <w:p w14:paraId="7E442E8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（3）重症多形红斑型药疹；</w:t>
      </w:r>
    </w:p>
    <w:p w14:paraId="57B4BCF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（4）其他符合严重药品不良反应诊断标准的皮肤粘膜损害：可引起死亡，或对生命有危险并能够导致人体永久的或显著的伤残，或对器官功能产生永久损伤，或需住院或使住院时间延长的皮肤粘膜损害。</w:t>
      </w:r>
    </w:p>
    <w:p w14:paraId="48B6521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符合以上条件之一的可判定为严重皮肤粘膜损害。</w:t>
      </w:r>
    </w:p>
    <w:p w14:paraId="0ADE19EC">
      <w:pPr>
        <w:topLinePunct/>
        <w:adjustRightInd w:val="0"/>
        <w:snapToGrid w:val="0"/>
        <w:spacing w:line="360" w:lineRule="auto"/>
        <w:rPr>
          <w:rFonts w:hint="eastAsia" w:ascii="Times New Roman" w:hAnsi="Times New Roman" w:eastAsia="宋体" w:cstheme="minorEastAsia"/>
          <w:b w:val="0"/>
          <w:bCs w:val="0"/>
          <w:snapToGrid w:val="0"/>
          <w:color w:val="auto"/>
          <w:kern w:val="0"/>
          <w:sz w:val="24"/>
          <w:lang w:bidi="ar"/>
        </w:rPr>
      </w:pPr>
      <w:r>
        <w:rPr>
          <w:rFonts w:hint="eastAsia" w:ascii="Times New Roman" w:hAnsi="Times New Roman" w:eastAsia="宋体" w:cstheme="minorEastAsia"/>
          <w:b w:val="0"/>
          <w:bCs w:val="0"/>
          <w:snapToGrid w:val="0"/>
          <w:color w:val="auto"/>
          <w:kern w:val="0"/>
          <w:sz w:val="24"/>
          <w:lang w:bidi="ar"/>
        </w:rPr>
        <w:t>6.3.3重症药疹报告案例</w:t>
      </w:r>
    </w:p>
    <w:p w14:paraId="42D3FA92">
      <w:pPr>
        <w:spacing w:line="360" w:lineRule="auto"/>
        <w:ind w:firstLine="420" w:firstLineChars="200"/>
        <w:rPr>
          <w:rFonts w:ascii="Times New Roman" w:hAnsi="Times New Roman"/>
          <w:color w:val="auto"/>
        </w:rPr>
      </w:pPr>
      <w:r>
        <w:rPr>
          <w:rFonts w:hint="eastAsia" w:ascii="Times New Roman" w:hAnsi="Times New Roman"/>
          <w:color w:val="auto"/>
        </w:rPr>
        <w:t>某患者，女，**岁，汉族，体重**kg，联系方式1******，病历号/门诊号：****，原患疾病：肺恶性肿瘤。既往药品不良反应/事件</w:t>
      </w:r>
      <w:r>
        <w:rPr>
          <w:rFonts w:hint="eastAsia" w:ascii="Times New Roman" w:hAnsi="Times New Roman"/>
          <w:color w:val="auto"/>
          <w:lang w:eastAsia="zh-CN"/>
        </w:rPr>
        <w:t>：</w:t>
      </w:r>
      <w:r>
        <w:rPr>
          <w:rFonts w:hint="eastAsia" w:ascii="Times New Roman" w:hAnsi="Times New Roman"/>
          <w:color w:val="auto"/>
        </w:rPr>
        <w:t>无，家族药品不良反应/事件</w:t>
      </w:r>
      <w:r>
        <w:rPr>
          <w:rFonts w:hint="eastAsia" w:ascii="Times New Roman" w:hAnsi="Times New Roman"/>
          <w:color w:val="auto"/>
          <w:lang w:eastAsia="zh-CN"/>
        </w:rPr>
        <w:t>：</w:t>
      </w:r>
      <w:r>
        <w:rPr>
          <w:rFonts w:hint="eastAsia" w:ascii="Times New Roman" w:hAnsi="Times New Roman"/>
          <w:color w:val="auto"/>
        </w:rPr>
        <w:t>不详。</w:t>
      </w:r>
    </w:p>
    <w:p w14:paraId="4FF683DE">
      <w:pPr>
        <w:spacing w:line="360" w:lineRule="auto"/>
        <w:ind w:firstLine="420" w:firstLineChars="200"/>
        <w:rPr>
          <w:rFonts w:ascii="Times New Roman" w:hAnsi="Times New Roman"/>
          <w:color w:val="auto"/>
        </w:rPr>
      </w:pPr>
      <w:r>
        <w:rPr>
          <w:rFonts w:hint="eastAsia" w:ascii="Times New Roman" w:hAnsi="Times New Roman"/>
          <w:color w:val="auto"/>
        </w:rPr>
        <w:t>某患者因肺恶性肿瘤使用重组人血管内皮抑制素注射液（8月23日～9月10日，每隔3天一次，每次9m</w:t>
      </w:r>
      <w:r>
        <w:rPr>
          <w:rFonts w:hint="eastAsia" w:ascii="Times New Roman" w:hAnsi="Times New Roman"/>
          <w:color w:val="auto"/>
          <w:lang w:eastAsia="zh-CN"/>
        </w:rPr>
        <w:t>L</w:t>
      </w:r>
      <w:r>
        <w:rPr>
          <w:rFonts w:hint="eastAsia" w:ascii="Times New Roman" w:hAnsi="Times New Roman"/>
          <w:color w:val="auto"/>
        </w:rPr>
        <w:t>）胸腔灌注，顺铂（8月24日，8月30日，9月2日，9月8日，每次60mg）胸腔灌注。9月12日患者出现多发破溃面，医师考虑药物导致可能，立即停用以上药物，并给予甲泼尼龙60mg ivgtt qd；氯雷他定片10mg po qn。9月16日患者破溃面较前加重，躯干四肢、面部均有累及，并伴高热（39.5℃），遂转入皮肤科治疗。皮肤科医师考虑大疱性表皮松解型药疹，立即给予硫代硫酸钠1.28g ivgtt qd；甲泼尼龙40mg ivgtt q12h，莫西沙星0.4g ivgtt qd；美罗培南1g ivgtt q8h等药物治疗。9月22日患者周身破溃糜烂较前好转。</w:t>
      </w:r>
    </w:p>
    <w:p w14:paraId="12C71811">
      <w:pPr>
        <w:spacing w:line="360" w:lineRule="auto"/>
        <w:ind w:firstLine="420" w:firstLineChars="200"/>
        <w:rPr>
          <w:rFonts w:ascii="Times New Roman" w:hAnsi="Times New Roman"/>
          <w:color w:val="auto"/>
        </w:rPr>
      </w:pPr>
      <w:r>
        <w:rPr>
          <w:rFonts w:hint="eastAsia" w:ascii="Times New Roman" w:hAnsi="Times New Roman"/>
          <w:color w:val="auto"/>
        </w:rPr>
        <w:t>关联性评价：患者不良反应发生与药物使用具有时间相关性；重组人血管内皮抑制素注射液说明书上并未记载相关不良反应，顺铂说明书上有相关不良反应记载（为少见）；停药后对症处理不良反应减轻（去激发阳性）；但未重新使用相关药品（再激发未知）；</w:t>
      </w:r>
      <w:r>
        <w:rPr>
          <w:rFonts w:ascii="Times New Roman" w:hAnsi="Times New Roman" w:eastAsia="宋体" w:cs="Times New Roman"/>
          <w:color w:val="auto"/>
          <w:szCs w:val="21"/>
          <w:shd w:val="clear" w:color="auto" w:fill="FFFFFF"/>
        </w:rPr>
        <w:t>不能用并用药的作用、病情进展及其他治疗的影响来解释，</w:t>
      </w:r>
      <w:r>
        <w:rPr>
          <w:rFonts w:hint="eastAsia" w:ascii="Times New Roman" w:hAnsi="Times New Roman"/>
          <w:color w:val="auto"/>
        </w:rPr>
        <w:t>故关联性评价为很可能。</w:t>
      </w:r>
    </w:p>
    <w:p w14:paraId="3C83911C">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295" w:name="_Toc28608"/>
      <w:bookmarkStart w:id="296" w:name="_Toc12096"/>
      <w:bookmarkStart w:id="297" w:name="_Toc1815"/>
      <w:bookmarkStart w:id="298" w:name="_Toc19116"/>
      <w:bookmarkStart w:id="299" w:name="_Toc16269"/>
      <w:bookmarkStart w:id="300" w:name="_Toc28927"/>
      <w:bookmarkStart w:id="301" w:name="_Toc27433"/>
      <w:bookmarkStart w:id="302" w:name="_Toc15347"/>
      <w:bookmarkStart w:id="303" w:name="_Toc7185"/>
      <w:bookmarkStart w:id="304" w:name="_Toc11698"/>
      <w:r>
        <w:rPr>
          <w:rFonts w:hint="default" w:ascii="Times New Roman" w:hAnsi="Times New Roman" w:eastAsia="黑体" w:cs="黑体"/>
          <w:snapToGrid w:val="0"/>
          <w:color w:val="auto"/>
          <w:kern w:val="0"/>
          <w:sz w:val="24"/>
          <w:lang w:bidi="ar"/>
        </w:rPr>
        <w:t>6.4 药物性肝损害判定评价标准</w:t>
      </w:r>
      <w:bookmarkEnd w:id="295"/>
      <w:bookmarkEnd w:id="296"/>
      <w:bookmarkEnd w:id="297"/>
      <w:bookmarkEnd w:id="298"/>
      <w:bookmarkEnd w:id="299"/>
      <w:bookmarkEnd w:id="300"/>
      <w:bookmarkEnd w:id="301"/>
      <w:bookmarkEnd w:id="302"/>
      <w:bookmarkEnd w:id="303"/>
      <w:bookmarkEnd w:id="304"/>
    </w:p>
    <w:p w14:paraId="17C9BC69">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6.4.1药物性肝损害临床特点和诊断标准</w:t>
      </w:r>
    </w:p>
    <w:p w14:paraId="243F52F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临床特点：药物性肝损害表现与各种肝病的表现相同，可以表现为肝细胞坏死、胆汁淤积、细胞内微脂滴沉积或慢性肝炎、肝硬化等。药物性肝损害均有一定的潜伏期，一般为4～8周。主要表现为乏力、食欲不振及黄疸，有些患者可同时出现皮疹、肾损害等其他脏器的表现。如下：</w:t>
      </w:r>
    </w:p>
    <w:p w14:paraId="62393889">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（2）诊断标准：①连续2次检测ALT＞40U/L，或/和TBil＞1×ULN；②或单次检测ALT＞2×ULN或TBil＞2×ULN；符合上述2项内容之一的即可定义为肝损害。</w:t>
      </w:r>
    </w:p>
    <w:p w14:paraId="2D506A3C">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6.4.2药物性肝损害严重程度分级</w:t>
      </w:r>
    </w:p>
    <w:p w14:paraId="657B2ED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（1）轻度肝损伤：血清ALT和/或ALP呈可恢复性升高；TBil＜2.5ULN（2.5mg/dL或42.75μmol/L），且INR＜1.5；多数患者可适应；可有或无乏力、虚弱、恶心、厌食、右上腹痛、黄疸、瘙痒、皮疹或体质量减轻等症状。</w:t>
      </w:r>
    </w:p>
    <w:p w14:paraId="02402BD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（2）中度肝损伤：血清ALT和/或ALP升高，TBil≥2.5ULN，或虽无TBil升高但INR≥1.5；上述症状可有加重。</w:t>
      </w:r>
    </w:p>
    <w:p w14:paraId="4881B52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（3）重度肝损伤：血清ALT和/或ALP升高；TBil≥5ULN（5mg/dL或85.5μmol/L），伴或不伴INR≥1.5；患者症状进一步加重，需要住院治疗，或住院时间延长。</w:t>
      </w:r>
    </w:p>
    <w:p w14:paraId="3A06498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（4）肝衰竭：血清ALT和/或ALP水平升高，TBil≥10ULN（10mg/dL或85.5μmol/L）或每日上升&gt;1mg/dL（17.1μmol/L），INR≥2.0或PTA＜40%；可同时出现腹水或肝性脑病；或DILI与相关的其他器官功能衰竭。</w:t>
      </w:r>
    </w:p>
    <w:p w14:paraId="7E1B4F6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（5）致命：因DILI死亡，或需接受肝移植才能存活。</w:t>
      </w:r>
    </w:p>
    <w:p w14:paraId="56C8B53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注：丙氨酸氨基转移酶（ALT）；</w:t>
      </w:r>
      <w:r>
        <w:rPr>
          <w:rFonts w:ascii="Times New Roman" w:hAnsi="Times New Roman" w:eastAsia="宋体" w:cstheme="minorEastAsia"/>
          <w:snapToGrid w:val="0"/>
          <w:color w:val="auto"/>
          <w:kern w:val="0"/>
          <w:sz w:val="24"/>
          <w:lang w:bidi="ar"/>
        </w:rPr>
        <w:t>碱性磷酸酶</w:t>
      </w:r>
      <w:r>
        <w:rPr>
          <w:rFonts w:hint="eastAsia" w:ascii="Times New Roman" w:hAnsi="Times New Roman" w:eastAsia="宋体" w:cstheme="minorEastAsia"/>
          <w:snapToGrid w:val="0"/>
          <w:color w:val="auto"/>
          <w:kern w:val="0"/>
          <w:sz w:val="24"/>
          <w:lang w:bidi="ar"/>
        </w:rPr>
        <w:t>（ALP）；总胆红素（TBil）；国际标准化比值（INR）；正常值上限（ULN）；药物性肝损伤（DILI）。</w:t>
      </w:r>
    </w:p>
    <w:p w14:paraId="01E33722">
      <w:pPr>
        <w:topLinePunct/>
        <w:adjustRightInd w:val="0"/>
        <w:snapToGrid w:val="0"/>
        <w:spacing w:line="360" w:lineRule="auto"/>
        <w:ind w:firstLine="482" w:firstLineChars="200"/>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bCs/>
          <w:snapToGrid w:val="0"/>
          <w:color w:val="auto"/>
          <w:kern w:val="0"/>
          <w:sz w:val="24"/>
          <w:lang w:bidi="ar"/>
        </w:rPr>
        <w:t>肝损害严重不良反应的判定标准：</w:t>
      </w:r>
    </w:p>
    <w:p w14:paraId="649838A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一般病例：严重程度分级中轻度肝损害；</w:t>
      </w:r>
    </w:p>
    <w:p w14:paraId="3B3EBB7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严重病例：严重程度分级重度肝损害和肝衰竭。</w:t>
      </w:r>
    </w:p>
    <w:p w14:paraId="4B01300C">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6.4.3药物性肝损害报告案例</w:t>
      </w:r>
    </w:p>
    <w:p w14:paraId="5300FA11">
      <w:pPr>
        <w:spacing w:line="360" w:lineRule="auto"/>
        <w:ind w:firstLine="420" w:firstLineChars="200"/>
        <w:rPr>
          <w:rFonts w:ascii="Times New Roman" w:hAnsi="Times New Roman"/>
          <w:color w:val="auto"/>
        </w:rPr>
      </w:pPr>
      <w:r>
        <w:rPr>
          <w:rFonts w:hint="eastAsia" w:ascii="Times New Roman" w:hAnsi="Times New Roman"/>
          <w:color w:val="auto"/>
        </w:rPr>
        <w:t>徐**，男，86岁，体重69kg，联系方式1******，病历号/门诊号：****，原患疾病：</w:t>
      </w:r>
      <w:r>
        <w:rPr>
          <w:rFonts w:ascii="Times New Roman" w:hAnsi="Times New Roman"/>
          <w:color w:val="auto"/>
        </w:rPr>
        <w:t>冠状动脉粥样硬化性心脏病</w:t>
      </w:r>
      <w:r>
        <w:rPr>
          <w:rFonts w:hint="eastAsia" w:ascii="Times New Roman" w:hAnsi="Times New Roman"/>
          <w:color w:val="auto"/>
        </w:rPr>
        <w:t>；高血压；糖尿病。既往药品不良反应/事件</w:t>
      </w:r>
      <w:r>
        <w:rPr>
          <w:rFonts w:hint="eastAsia" w:ascii="Times New Roman" w:hAnsi="Times New Roman"/>
          <w:color w:val="auto"/>
          <w:lang w:eastAsia="zh-CN"/>
        </w:rPr>
        <w:t>：</w:t>
      </w:r>
      <w:r>
        <w:rPr>
          <w:rFonts w:hint="eastAsia" w:ascii="Times New Roman" w:hAnsi="Times New Roman"/>
          <w:color w:val="auto"/>
        </w:rPr>
        <w:t>无，家族药品不良反应/事件</w:t>
      </w:r>
      <w:r>
        <w:rPr>
          <w:rFonts w:hint="eastAsia" w:ascii="Times New Roman" w:hAnsi="Times New Roman"/>
          <w:color w:val="auto"/>
          <w:lang w:eastAsia="zh-CN"/>
        </w:rPr>
        <w:t>：</w:t>
      </w:r>
      <w:r>
        <w:rPr>
          <w:rFonts w:hint="eastAsia" w:ascii="Times New Roman" w:hAnsi="Times New Roman"/>
          <w:color w:val="auto"/>
        </w:rPr>
        <w:t>不详。</w:t>
      </w:r>
    </w:p>
    <w:p w14:paraId="7962EB3F">
      <w:pPr>
        <w:spacing w:line="360" w:lineRule="auto"/>
        <w:ind w:firstLine="420" w:firstLineChars="200"/>
        <w:rPr>
          <w:rFonts w:ascii="Times New Roman" w:hAnsi="Times New Roman"/>
          <w:color w:val="auto"/>
        </w:rPr>
      </w:pPr>
      <w:r>
        <w:rPr>
          <w:rFonts w:ascii="Times New Roman" w:hAnsi="Times New Roman"/>
          <w:color w:val="auto"/>
        </w:rPr>
        <w:t>9月3日患者因冠状动脉粥样硬化性心脏病</w:t>
      </w:r>
      <w:r>
        <w:rPr>
          <w:rFonts w:hint="eastAsia" w:ascii="Times New Roman" w:hAnsi="Times New Roman"/>
          <w:color w:val="auto"/>
        </w:rPr>
        <w:t>使用</w:t>
      </w:r>
      <w:r>
        <w:rPr>
          <w:rFonts w:ascii="Times New Roman" w:hAnsi="Times New Roman"/>
          <w:color w:val="auto"/>
        </w:rPr>
        <w:t>阿托伐他汀钙片20mg</w:t>
      </w:r>
      <w:r>
        <w:rPr>
          <w:rFonts w:hint="eastAsia" w:ascii="Times New Roman" w:hAnsi="Times New Roman"/>
          <w:color w:val="auto"/>
        </w:rPr>
        <w:t xml:space="preserve"> po qn</w:t>
      </w:r>
      <w:r>
        <w:rPr>
          <w:rFonts w:ascii="Times New Roman" w:hAnsi="Times New Roman"/>
          <w:color w:val="auto"/>
        </w:rPr>
        <w:t>调脂治疗</w:t>
      </w:r>
      <w:r>
        <w:rPr>
          <w:rFonts w:hint="eastAsia" w:ascii="Times New Roman" w:hAnsi="Times New Roman"/>
          <w:color w:val="auto"/>
        </w:rPr>
        <w:t>。</w:t>
      </w:r>
      <w:r>
        <w:rPr>
          <w:rFonts w:ascii="Times New Roman" w:hAnsi="Times New Roman"/>
          <w:color w:val="auto"/>
        </w:rPr>
        <w:t>用药前9月3日肝功能ALT</w:t>
      </w:r>
      <w:r>
        <w:rPr>
          <w:rFonts w:hint="eastAsia" w:ascii="Times New Roman" w:hAnsi="Times New Roman"/>
          <w:color w:val="auto"/>
        </w:rPr>
        <w:t xml:space="preserve"> </w:t>
      </w:r>
      <w:r>
        <w:rPr>
          <w:rFonts w:ascii="Times New Roman" w:hAnsi="Times New Roman"/>
          <w:color w:val="auto"/>
        </w:rPr>
        <w:t>30U/L，</w:t>
      </w:r>
      <w:r>
        <w:rPr>
          <w:rFonts w:hint="eastAsia" w:ascii="Times New Roman" w:hAnsi="Times New Roman"/>
          <w:color w:val="auto"/>
        </w:rPr>
        <w:t>TBil 23.5umol/</w:t>
      </w:r>
      <w:r>
        <w:rPr>
          <w:rFonts w:ascii="Times New Roman" w:hAnsi="Times New Roman"/>
          <w:color w:val="auto"/>
        </w:rPr>
        <w:t>L</w:t>
      </w:r>
      <w:r>
        <w:rPr>
          <w:rFonts w:hint="eastAsia" w:ascii="Times New Roman" w:hAnsi="Times New Roman"/>
          <w:color w:val="auto"/>
        </w:rPr>
        <w:t>。</w:t>
      </w:r>
      <w:r>
        <w:rPr>
          <w:rFonts w:ascii="Times New Roman" w:hAnsi="Times New Roman"/>
          <w:color w:val="auto"/>
        </w:rPr>
        <w:t>9月</w:t>
      </w:r>
      <w:r>
        <w:rPr>
          <w:rFonts w:hint="eastAsia" w:ascii="Times New Roman" w:hAnsi="Times New Roman"/>
          <w:color w:val="auto"/>
        </w:rPr>
        <w:t>8</w:t>
      </w:r>
      <w:r>
        <w:rPr>
          <w:rFonts w:ascii="Times New Roman" w:hAnsi="Times New Roman"/>
          <w:color w:val="auto"/>
        </w:rPr>
        <w:t>日</w:t>
      </w:r>
      <w:r>
        <w:rPr>
          <w:rFonts w:hint="eastAsia" w:ascii="Times New Roman" w:hAnsi="Times New Roman"/>
          <w:color w:val="auto"/>
        </w:rPr>
        <w:t>患者诉食欲不振、乏力，复查</w:t>
      </w:r>
      <w:r>
        <w:rPr>
          <w:rFonts w:ascii="Times New Roman" w:hAnsi="Times New Roman"/>
          <w:color w:val="auto"/>
        </w:rPr>
        <w:t xml:space="preserve">肝功能ALT </w:t>
      </w:r>
      <w:r>
        <w:rPr>
          <w:rFonts w:hint="eastAsia" w:ascii="Times New Roman" w:hAnsi="Times New Roman"/>
          <w:color w:val="auto"/>
        </w:rPr>
        <w:t>55</w:t>
      </w:r>
      <w:r>
        <w:rPr>
          <w:rFonts w:ascii="Times New Roman" w:hAnsi="Times New Roman"/>
          <w:color w:val="auto"/>
        </w:rPr>
        <w:t>1.5U/L</w:t>
      </w:r>
      <w:r>
        <w:rPr>
          <w:rFonts w:hint="eastAsia" w:ascii="Times New Roman" w:hAnsi="Times New Roman"/>
          <w:color w:val="auto"/>
        </w:rPr>
        <w:t>，TBil 147.5umol/</w:t>
      </w:r>
      <w:r>
        <w:rPr>
          <w:rFonts w:ascii="Times New Roman" w:hAnsi="Times New Roman"/>
          <w:color w:val="auto"/>
        </w:rPr>
        <w:t>L</w:t>
      </w:r>
      <w:r>
        <w:rPr>
          <w:rFonts w:hint="eastAsia" w:ascii="Times New Roman" w:hAnsi="Times New Roman"/>
          <w:color w:val="auto"/>
        </w:rPr>
        <w:t>，考虑药物引起的重度肝功能损害，</w:t>
      </w:r>
      <w:r>
        <w:rPr>
          <w:rFonts w:ascii="Times New Roman" w:hAnsi="Times New Roman"/>
          <w:color w:val="auto"/>
        </w:rPr>
        <w:t>立即停药，并</w:t>
      </w:r>
      <w:r>
        <w:rPr>
          <w:rFonts w:hint="eastAsia" w:ascii="Times New Roman" w:hAnsi="Times New Roman"/>
          <w:color w:val="auto"/>
        </w:rPr>
        <w:t>给予注射用</w:t>
      </w:r>
      <w:r>
        <w:rPr>
          <w:rFonts w:ascii="Times New Roman" w:hAnsi="Times New Roman"/>
          <w:color w:val="auto"/>
        </w:rPr>
        <w:t>谷胱甘肽1.8g</w:t>
      </w:r>
      <w:r>
        <w:rPr>
          <w:rFonts w:hint="eastAsia" w:ascii="Times New Roman" w:hAnsi="Times New Roman"/>
          <w:color w:val="auto"/>
        </w:rPr>
        <w:t xml:space="preserve"> ivgtt qd护肝</w:t>
      </w:r>
      <w:r>
        <w:rPr>
          <w:rFonts w:ascii="Times New Roman" w:hAnsi="Times New Roman"/>
          <w:color w:val="auto"/>
        </w:rPr>
        <w:t>治疗。9月</w:t>
      </w:r>
      <w:r>
        <w:rPr>
          <w:rFonts w:hint="eastAsia" w:ascii="Times New Roman" w:hAnsi="Times New Roman"/>
          <w:color w:val="auto"/>
        </w:rPr>
        <w:t>13</w:t>
      </w:r>
      <w:r>
        <w:rPr>
          <w:rFonts w:ascii="Times New Roman" w:hAnsi="Times New Roman"/>
          <w:color w:val="auto"/>
        </w:rPr>
        <w:t>日</w:t>
      </w:r>
      <w:r>
        <w:rPr>
          <w:rFonts w:hint="eastAsia" w:ascii="Times New Roman" w:hAnsi="Times New Roman"/>
          <w:color w:val="auto"/>
        </w:rPr>
        <w:t>患者诉其乏力情况好转，复查</w:t>
      </w:r>
      <w:r>
        <w:rPr>
          <w:rFonts w:ascii="Times New Roman" w:hAnsi="Times New Roman"/>
          <w:color w:val="auto"/>
        </w:rPr>
        <w:t xml:space="preserve">肝功能ALT </w:t>
      </w:r>
      <w:r>
        <w:rPr>
          <w:rFonts w:hint="eastAsia" w:ascii="Times New Roman" w:hAnsi="Times New Roman"/>
          <w:color w:val="auto"/>
        </w:rPr>
        <w:t>92</w:t>
      </w:r>
      <w:r>
        <w:rPr>
          <w:rFonts w:ascii="Times New Roman" w:hAnsi="Times New Roman"/>
          <w:color w:val="auto"/>
        </w:rPr>
        <w:t>U/L，</w:t>
      </w:r>
      <w:r>
        <w:rPr>
          <w:rFonts w:hint="eastAsia" w:ascii="Times New Roman" w:hAnsi="Times New Roman"/>
          <w:color w:val="auto"/>
        </w:rPr>
        <w:t>TBil 31.3umol/</w:t>
      </w:r>
      <w:r>
        <w:rPr>
          <w:rFonts w:ascii="Times New Roman" w:hAnsi="Times New Roman"/>
          <w:color w:val="auto"/>
        </w:rPr>
        <w:t>L</w:t>
      </w:r>
      <w:r>
        <w:rPr>
          <w:rFonts w:hint="eastAsia" w:ascii="Times New Roman" w:hAnsi="Times New Roman"/>
          <w:color w:val="auto"/>
        </w:rPr>
        <w:t>，</w:t>
      </w:r>
      <w:r>
        <w:rPr>
          <w:rFonts w:ascii="Times New Roman" w:hAnsi="Times New Roman"/>
          <w:color w:val="auto"/>
        </w:rPr>
        <w:t>提示肝功能较前好转。</w:t>
      </w:r>
    </w:p>
    <w:p w14:paraId="04F49F0B">
      <w:pPr>
        <w:spacing w:line="360" w:lineRule="auto"/>
        <w:ind w:firstLine="420" w:firstLineChars="200"/>
        <w:rPr>
          <w:rFonts w:ascii="Times New Roman" w:hAnsi="Times New Roman" w:eastAsia="宋体" w:cstheme="minorEastAsia"/>
          <w:snapToGrid w:val="0"/>
          <w:color w:val="auto"/>
          <w:kern w:val="0"/>
          <w:sz w:val="24"/>
          <w:lang w:bidi="ar"/>
        </w:rPr>
      </w:pPr>
      <w:r>
        <w:rPr>
          <w:rFonts w:hint="eastAsia" w:ascii="Times New Roman" w:hAnsi="Times New Roman"/>
          <w:color w:val="auto"/>
        </w:rPr>
        <w:t>关联性评价：患者不良反应发生与药物使用具有时间相关性；</w:t>
      </w:r>
      <w:r>
        <w:rPr>
          <w:rFonts w:ascii="Times New Roman" w:hAnsi="Times New Roman"/>
          <w:color w:val="auto"/>
        </w:rPr>
        <w:t>阿托伐他汀钙片</w:t>
      </w:r>
      <w:r>
        <w:rPr>
          <w:rFonts w:hint="eastAsia" w:ascii="Times New Roman" w:hAnsi="Times New Roman"/>
          <w:color w:val="auto"/>
        </w:rPr>
        <w:t>说明书上有记载其可致肝功能异常；停药后对症处理不良反应减轻（去激发阳性）；但未重新使用相关药品（再激发未知）；该报告缺乏合并用药信息，以及病毒性肝炎检测信息。故关联性评价为可能。</w:t>
      </w:r>
    </w:p>
    <w:p w14:paraId="03E6A4A3">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305" w:name="_Toc28077"/>
      <w:bookmarkStart w:id="306" w:name="_Toc23781"/>
      <w:bookmarkStart w:id="307" w:name="_Toc1116"/>
      <w:bookmarkStart w:id="308" w:name="_Toc2407"/>
      <w:bookmarkStart w:id="309" w:name="_Toc17666"/>
      <w:bookmarkStart w:id="310" w:name="_Toc31137"/>
      <w:bookmarkStart w:id="311" w:name="_Toc11738"/>
      <w:bookmarkStart w:id="312" w:name="_Toc8618"/>
      <w:bookmarkStart w:id="313" w:name="_Toc29937"/>
      <w:bookmarkStart w:id="314" w:name="_Toc12403"/>
      <w:r>
        <w:rPr>
          <w:rFonts w:hint="default" w:ascii="Times New Roman" w:hAnsi="Times New Roman" w:eastAsia="黑体" w:cs="黑体"/>
          <w:snapToGrid w:val="0"/>
          <w:color w:val="auto"/>
          <w:kern w:val="0"/>
          <w:sz w:val="24"/>
          <w:lang w:bidi="ar"/>
        </w:rPr>
        <w:t>6.5 药物性肾损害判定评价标准</w:t>
      </w:r>
      <w:bookmarkEnd w:id="305"/>
      <w:bookmarkEnd w:id="306"/>
      <w:bookmarkEnd w:id="307"/>
      <w:bookmarkEnd w:id="308"/>
      <w:bookmarkEnd w:id="309"/>
      <w:bookmarkEnd w:id="310"/>
      <w:bookmarkEnd w:id="311"/>
      <w:bookmarkEnd w:id="312"/>
      <w:bookmarkEnd w:id="313"/>
      <w:bookmarkEnd w:id="314"/>
    </w:p>
    <w:p w14:paraId="0F905D5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6.5.1常见药物性肾损害</w:t>
      </w:r>
    </w:p>
    <w:p w14:paraId="7AF8E97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1.急性间质性肾炎</w:t>
      </w:r>
    </w:p>
    <w:p w14:paraId="2F310D8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（1）药物使用史：出现肾损害2周内使用过可疑药物。</w:t>
      </w:r>
    </w:p>
    <w:p w14:paraId="3760AFC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（2）全身过敏表现：表现为①皮疹；②药物热；③高嗜酸</w:t>
      </w:r>
      <w:r>
        <w:rPr>
          <w:rFonts w:hint="eastAsia" w:ascii="Times New Roman" w:hAnsi="Times New Roman" w:eastAsia="宋体" w:cstheme="minorEastAsia"/>
          <w:snapToGrid w:val="0"/>
          <w:color w:val="auto"/>
          <w:kern w:val="0"/>
          <w:sz w:val="24"/>
          <w:lang w:val="en-US" w:eastAsia="zh-CN" w:bidi="ar"/>
        </w:rPr>
        <w:t>性</w:t>
      </w:r>
      <w:r>
        <w:rPr>
          <w:rFonts w:hint="eastAsia" w:ascii="Times New Roman" w:hAnsi="Times New Roman" w:eastAsia="宋体" w:cstheme="minorEastAsia"/>
          <w:snapToGrid w:val="0"/>
          <w:color w:val="auto"/>
          <w:kern w:val="0"/>
          <w:sz w:val="24"/>
          <w:lang w:bidi="ar"/>
        </w:rPr>
        <w:t>粒细胞血症等。出现上述任一条则临床可判定为过敏表现。</w:t>
      </w:r>
    </w:p>
    <w:p w14:paraId="7D3BF83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（3）肾损害表现：①以肾小管功能障碍为主，表现为尿比重下降、肾性尿糖、尿钠排泄增加。②急性肾损害，在48h内血清肌酐上升≥0.3mg/dL（26.5umoL/L）或上升≥50%；或尿量少于0.5m</w:t>
      </w:r>
      <w:r>
        <w:rPr>
          <w:rFonts w:hint="eastAsia" w:ascii="Times New Roman" w:hAnsi="Times New Roman" w:eastAsia="宋体" w:cstheme="minorEastAsia"/>
          <w:snapToGrid w:val="0"/>
          <w:color w:val="auto"/>
          <w:kern w:val="0"/>
          <w:sz w:val="24"/>
          <w:lang w:eastAsia="zh-CN" w:bidi="ar"/>
        </w:rPr>
        <w:t>L</w:t>
      </w:r>
      <w:r>
        <w:rPr>
          <w:rFonts w:hint="eastAsia" w:ascii="Times New Roman" w:hAnsi="Times New Roman" w:eastAsia="宋体" w:cstheme="minorEastAsia"/>
          <w:snapToGrid w:val="0"/>
          <w:color w:val="auto"/>
          <w:kern w:val="0"/>
          <w:sz w:val="24"/>
          <w:lang w:bidi="ar"/>
        </w:rPr>
        <w:t>/（kg▪h）持续超过6h。③尿液检查发现蛋白尿、血尿、无菌性白细胞尿，一般尿蛋白量不超过2g/d。④血液化验发现与肾功能损害不平行的酸中毒（肾小管酸中毒）。</w:t>
      </w:r>
    </w:p>
    <w:p w14:paraId="3F13F42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当（1）～（3）全部符合时可临床诊断药物引起的急性间质性肾炎；当仅符合（1）和（3）时，高度疑诊急性间质性肾炎。当确诊困难而临床无禁忌证时，可行肾穿刺病理检查协助诊断。病理表现为间质炎症细胞浸润及水肿而肾小球正常。</w:t>
      </w:r>
    </w:p>
    <w:p w14:paraId="06D8057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2.急性肾小管坏死</w:t>
      </w:r>
    </w:p>
    <w:p w14:paraId="4AA3544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（1）药物使用史：出现肾损害一到数天内使用过可疑药物。部分</w:t>
      </w:r>
      <w:r>
        <w:rPr>
          <w:rFonts w:hint="eastAsia" w:ascii="Times New Roman" w:hAnsi="Times New Roman" w:eastAsia="宋体" w:cstheme="minorEastAsia"/>
          <w:snapToGrid w:val="0"/>
          <w:color w:val="auto"/>
          <w:kern w:val="0"/>
          <w:sz w:val="24"/>
          <w:lang w:eastAsia="zh-CN" w:bidi="ar"/>
        </w:rPr>
        <w:t>患者</w:t>
      </w:r>
      <w:r>
        <w:rPr>
          <w:rFonts w:hint="eastAsia" w:ascii="Times New Roman" w:hAnsi="Times New Roman" w:eastAsia="宋体" w:cstheme="minorEastAsia"/>
          <w:snapToGrid w:val="0"/>
          <w:color w:val="auto"/>
          <w:kern w:val="0"/>
          <w:sz w:val="24"/>
          <w:lang w:bidi="ar"/>
        </w:rPr>
        <w:t>可发现血管内溶血的证据，例如与输液过程相关的寒战、发热、黄疸、进行性贫血、末梢血网织红细胞升高、血清或尿液中出现高浓度血红蛋白。</w:t>
      </w:r>
    </w:p>
    <w:p w14:paraId="64F9E46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（2）肾损害表现：①急性肾损害，在48h内血清肌酐上升≥0.3mg/dL（26.5umoL/L）或上升≥50%；或尿量少于0.5m</w:t>
      </w:r>
      <w:r>
        <w:rPr>
          <w:rFonts w:hint="eastAsia" w:ascii="Times New Roman" w:hAnsi="Times New Roman" w:eastAsia="宋体" w:cstheme="minorEastAsia"/>
          <w:snapToGrid w:val="0"/>
          <w:color w:val="auto"/>
          <w:kern w:val="0"/>
          <w:sz w:val="24"/>
          <w:lang w:eastAsia="zh-CN" w:bidi="ar"/>
        </w:rPr>
        <w:t>L</w:t>
      </w:r>
      <w:r>
        <w:rPr>
          <w:rFonts w:hint="eastAsia" w:ascii="Times New Roman" w:hAnsi="Times New Roman" w:eastAsia="宋体" w:cstheme="minorEastAsia"/>
          <w:snapToGrid w:val="0"/>
          <w:color w:val="auto"/>
          <w:kern w:val="0"/>
          <w:sz w:val="24"/>
          <w:lang w:bidi="ar"/>
        </w:rPr>
        <w:t>/（kg▪h）持续超过6h。常伴肾小管功能障碍，表现为尿比重下降、尿钠排泄增加。②尿常规检查阴性或可发现轻度蛋白尿和血尿，但蛋白尿和血尿不明显，此可以与肾小球疾病鉴别。出现上述①或②则临床可判定为急性肾小管坏死。</w:t>
      </w:r>
    </w:p>
    <w:p w14:paraId="414A14E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当临床表现不典型而导致诊断困难且无禁忌证时，可行肾穿刺病理检查协助诊断。病理表现为肾小管上皮细胞崩解、脱落、肾小管基底膜裸露、肾小管内管型形成。</w:t>
      </w:r>
    </w:p>
    <w:p w14:paraId="6AACAF9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3.慢性间质性肾炎</w:t>
      </w:r>
    </w:p>
    <w:p w14:paraId="14E34E4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（1）药物使用史：发现肾损害前较长时间内连续或间断使用过可疑药物。</w:t>
      </w:r>
    </w:p>
    <w:p w14:paraId="1BB2E73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（2）肾损害表现：①以肾小管功能障碍为主，表现为尿比重下降、肾性尿糖、肾小管酸中毒。②慢性肾功能损害，肾小球滤过率小于60m</w:t>
      </w:r>
      <w:r>
        <w:rPr>
          <w:rFonts w:hint="eastAsia" w:ascii="Times New Roman" w:hAnsi="Times New Roman" w:eastAsia="宋体" w:cstheme="minorEastAsia"/>
          <w:snapToGrid w:val="0"/>
          <w:color w:val="auto"/>
          <w:kern w:val="0"/>
          <w:sz w:val="24"/>
          <w:lang w:eastAsia="zh-CN" w:bidi="ar"/>
        </w:rPr>
        <w:t>L</w:t>
      </w:r>
      <w:r>
        <w:rPr>
          <w:rFonts w:hint="eastAsia" w:ascii="Times New Roman" w:hAnsi="Times New Roman" w:eastAsia="宋体" w:cstheme="minorEastAsia"/>
          <w:snapToGrid w:val="0"/>
          <w:color w:val="auto"/>
          <w:kern w:val="0"/>
          <w:sz w:val="24"/>
          <w:lang w:bidi="ar"/>
        </w:rPr>
        <w:t>/min×1.73m</w:t>
      </w:r>
      <w:r>
        <w:rPr>
          <w:rFonts w:hint="eastAsia" w:ascii="Times New Roman" w:hAnsi="Times New Roman" w:eastAsia="宋体" w:cstheme="minorEastAsia"/>
          <w:snapToGrid w:val="0"/>
          <w:color w:val="auto"/>
          <w:kern w:val="0"/>
          <w:sz w:val="24"/>
          <w:vertAlign w:val="superscript"/>
          <w:lang w:bidi="ar"/>
        </w:rPr>
        <w:t>2</w:t>
      </w:r>
      <w:r>
        <w:rPr>
          <w:rFonts w:hint="eastAsia" w:ascii="Times New Roman" w:hAnsi="Times New Roman" w:eastAsia="宋体" w:cstheme="minorEastAsia"/>
          <w:snapToGrid w:val="0"/>
          <w:color w:val="auto"/>
          <w:kern w:val="0"/>
          <w:sz w:val="24"/>
          <w:lang w:bidi="ar"/>
        </w:rPr>
        <w:t>持续超过3个月或血清肌酐进行性缓慢上升。③尿液检查发现蛋白尿和血尿。一般尿蛋白量不超过2g/d，血尿为镜下血尿。④血液化验发现与肾功能损害不平行的贫血。符合上述①～③并可除外其他慢性肾脏病者可临床诊断为慢性间质性肾炎。</w:t>
      </w:r>
    </w:p>
    <w:p w14:paraId="155CAEF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当临床表现不典型而导致诊断困难且无禁忌证时，可行肾穿刺病理检查协助诊断。病理表现为肾间质纤维组织增生而肾小球相对病变轻微。</w:t>
      </w:r>
    </w:p>
    <w:p w14:paraId="5E125ADB">
      <w:pPr>
        <w:topLinePunct/>
        <w:adjustRightInd w:val="0"/>
        <w:snapToGrid w:val="0"/>
        <w:spacing w:line="360" w:lineRule="auto"/>
        <w:rPr>
          <w:rFonts w:hint="eastAsia" w:ascii="Times New Roman" w:hAnsi="Times New Roman" w:eastAsia="宋体" w:cstheme="minorEastAsia"/>
          <w:b w:val="0"/>
          <w:bCs w:val="0"/>
          <w:snapToGrid w:val="0"/>
          <w:color w:val="auto"/>
          <w:kern w:val="0"/>
          <w:sz w:val="24"/>
          <w:lang w:bidi="ar"/>
        </w:rPr>
      </w:pPr>
      <w:r>
        <w:rPr>
          <w:rFonts w:hint="eastAsia" w:ascii="Times New Roman" w:hAnsi="Times New Roman" w:eastAsia="宋体" w:cstheme="minorEastAsia"/>
          <w:b w:val="0"/>
          <w:bCs w:val="0"/>
          <w:snapToGrid w:val="0"/>
          <w:color w:val="auto"/>
          <w:kern w:val="0"/>
          <w:sz w:val="24"/>
          <w:lang w:bidi="ar"/>
        </w:rPr>
        <w:t>6.5.2肾损害不良反应判定标准</w:t>
      </w:r>
    </w:p>
    <w:p w14:paraId="507C54C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（1）急性肾损害：在48h内血清肌酐上升≥0.3mg/dL（26.5umoL/L）或上升≥50%；或尿量＜0.5m</w:t>
      </w:r>
      <w:r>
        <w:rPr>
          <w:rFonts w:hint="eastAsia" w:ascii="Times New Roman" w:hAnsi="Times New Roman" w:eastAsia="宋体" w:cstheme="minorEastAsia"/>
          <w:snapToGrid w:val="0"/>
          <w:color w:val="auto"/>
          <w:kern w:val="0"/>
          <w:sz w:val="24"/>
          <w:lang w:eastAsia="zh-CN" w:bidi="ar"/>
        </w:rPr>
        <w:t>L</w:t>
      </w:r>
      <w:r>
        <w:rPr>
          <w:rFonts w:hint="eastAsia" w:ascii="Times New Roman" w:hAnsi="Times New Roman" w:eastAsia="宋体" w:cstheme="minorEastAsia"/>
          <w:snapToGrid w:val="0"/>
          <w:color w:val="auto"/>
          <w:kern w:val="0"/>
          <w:sz w:val="24"/>
          <w:lang w:bidi="ar"/>
        </w:rPr>
        <w:t>/（kg▪h）持续超过6h。</w:t>
      </w:r>
    </w:p>
    <w:p w14:paraId="0EA6D29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（2）慢性肾损害：肾小球滤过率小于60m</w:t>
      </w:r>
      <w:r>
        <w:rPr>
          <w:rFonts w:hint="eastAsia" w:ascii="Times New Roman" w:hAnsi="Times New Roman" w:eastAsia="宋体" w:cstheme="minorEastAsia"/>
          <w:snapToGrid w:val="0"/>
          <w:color w:val="auto"/>
          <w:kern w:val="0"/>
          <w:sz w:val="24"/>
          <w:lang w:eastAsia="zh-CN" w:bidi="ar"/>
        </w:rPr>
        <w:t>L</w:t>
      </w:r>
      <w:r>
        <w:rPr>
          <w:rFonts w:hint="eastAsia" w:ascii="Times New Roman" w:hAnsi="Times New Roman" w:eastAsia="宋体" w:cstheme="minorEastAsia"/>
          <w:snapToGrid w:val="0"/>
          <w:color w:val="auto"/>
          <w:kern w:val="0"/>
          <w:sz w:val="24"/>
          <w:lang w:bidi="ar"/>
        </w:rPr>
        <w:t>/min×1.73m</w:t>
      </w:r>
      <w:r>
        <w:rPr>
          <w:rFonts w:hint="eastAsia" w:ascii="Times New Roman" w:hAnsi="Times New Roman" w:eastAsia="宋体" w:cstheme="minorEastAsia"/>
          <w:snapToGrid w:val="0"/>
          <w:color w:val="auto"/>
          <w:kern w:val="0"/>
          <w:sz w:val="24"/>
          <w:vertAlign w:val="superscript"/>
          <w:lang w:bidi="ar"/>
        </w:rPr>
        <w:t>2</w:t>
      </w:r>
      <w:r>
        <w:rPr>
          <w:rFonts w:hint="eastAsia" w:ascii="Times New Roman" w:hAnsi="Times New Roman" w:eastAsia="宋体" w:cstheme="minorEastAsia"/>
          <w:snapToGrid w:val="0"/>
          <w:color w:val="auto"/>
          <w:kern w:val="0"/>
          <w:sz w:val="24"/>
          <w:lang w:bidi="ar"/>
        </w:rPr>
        <w:t>持续超过3个月或血清肌酐进行性缓慢上升。</w:t>
      </w:r>
    </w:p>
    <w:p w14:paraId="6892D15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（3）尿检异常：蛋白尿、血尿、管型尿、无菌性白细胞尿</w:t>
      </w:r>
    </w:p>
    <w:p w14:paraId="7CB87FF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（4）尿量异常：少尿：24h尿量少于400</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，或每小时尿量少于17</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；无尿：24h尿量少于100</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，12h完全无尿</w:t>
      </w:r>
    </w:p>
    <w:p w14:paraId="54BFD49B">
      <w:pPr>
        <w:topLinePunct/>
        <w:adjustRightInd w:val="0"/>
        <w:snapToGrid w:val="0"/>
        <w:spacing w:line="360" w:lineRule="auto"/>
        <w:rPr>
          <w:rFonts w:hint="eastAsia" w:ascii="Times New Roman" w:hAnsi="Times New Roman" w:eastAsia="宋体" w:cstheme="minorEastAsia"/>
          <w:b w:val="0"/>
          <w:bCs w:val="0"/>
          <w:snapToGrid w:val="0"/>
          <w:color w:val="auto"/>
          <w:kern w:val="0"/>
          <w:sz w:val="24"/>
          <w:lang w:bidi="ar"/>
        </w:rPr>
      </w:pPr>
      <w:r>
        <w:rPr>
          <w:rFonts w:hint="eastAsia" w:ascii="Times New Roman" w:hAnsi="Times New Roman" w:eastAsia="宋体" w:cstheme="minorEastAsia"/>
          <w:b w:val="0"/>
          <w:bCs w:val="0"/>
          <w:snapToGrid w:val="0"/>
          <w:color w:val="auto"/>
          <w:kern w:val="0"/>
          <w:sz w:val="24"/>
          <w:lang w:bidi="ar"/>
        </w:rPr>
        <w:t>6.5.3肾损害严重不良反应判定条件</w:t>
      </w:r>
    </w:p>
    <w:p w14:paraId="247DA5E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（1）急性肾衰竭</w:t>
      </w:r>
    </w:p>
    <w:p w14:paraId="78AE572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①血清（血浆）肌酐增加到基线的3倍以上，或≥4mg/dL（354umol/L）且急性上升＞0.5mg/dL（44.2umol/L）；②尿量下降到小于0.5</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/（kg▪h）达到24h或无尿达到12h；③因急性肾损害需要住院治疗；④需要任何形式的肾脏替代治疗。符合上述任何一条者判定为重症急性肾衰竭。</w:t>
      </w:r>
    </w:p>
    <w:p w14:paraId="325EDAAF">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（2）慢性肾损害</w:t>
      </w:r>
    </w:p>
    <w:p w14:paraId="378C139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①肾小球滤过率小于60</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/min×1.73m</w:t>
      </w:r>
      <w:r>
        <w:rPr>
          <w:rFonts w:hint="eastAsia" w:ascii="Times New Roman" w:hAnsi="Times New Roman" w:eastAsia="宋体" w:cstheme="minorEastAsia"/>
          <w:snapToGrid w:val="0"/>
          <w:color w:val="auto"/>
          <w:kern w:val="0"/>
          <w:sz w:val="24"/>
          <w:vertAlign w:val="superscript"/>
          <w:lang w:bidi="ar"/>
        </w:rPr>
        <w:t>2</w:t>
      </w:r>
      <w:r>
        <w:rPr>
          <w:rFonts w:hint="eastAsia" w:ascii="Times New Roman" w:hAnsi="Times New Roman" w:eastAsia="宋体" w:cstheme="minorEastAsia"/>
          <w:snapToGrid w:val="0"/>
          <w:color w:val="auto"/>
          <w:kern w:val="0"/>
          <w:sz w:val="24"/>
          <w:lang w:bidi="ar"/>
        </w:rPr>
        <w:t>持续超过3个月；②血清肌酐值大于等于1.5mg/dl（133umol/L）持续超过3个月；③需要长期口服药物以纠正慢性肾衰竭的代谢异常；④需要任何形式的肾脏替代治疗。符合上述任何一条者，即判定为慢性肾损伤。</w:t>
      </w:r>
    </w:p>
    <w:p w14:paraId="3574F06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（3）少尿或无尿</w:t>
      </w:r>
    </w:p>
    <w:p w14:paraId="499A3A2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①少尿：24h尿量少于400</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，或每h尿量少于17</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；②无尿：24h尿量少于100</w:t>
      </w:r>
      <w:r>
        <w:rPr>
          <w:rFonts w:hint="eastAsia" w:ascii="Times New Roman" w:hAnsi="Times New Roman" w:eastAsia="宋体" w:cstheme="minorEastAsia"/>
          <w:snapToGrid w:val="0"/>
          <w:color w:val="auto"/>
          <w:kern w:val="0"/>
          <w:sz w:val="24"/>
          <w:lang w:eastAsia="zh-CN" w:bidi="ar"/>
        </w:rPr>
        <w:t>mL</w:t>
      </w:r>
      <w:r>
        <w:rPr>
          <w:rFonts w:hint="eastAsia" w:ascii="Times New Roman" w:hAnsi="Times New Roman" w:eastAsia="宋体" w:cstheme="minorEastAsia"/>
          <w:snapToGrid w:val="0"/>
          <w:color w:val="auto"/>
          <w:kern w:val="0"/>
          <w:sz w:val="24"/>
          <w:lang w:bidi="ar"/>
        </w:rPr>
        <w:t>，12h完全无尿。</w:t>
      </w:r>
    </w:p>
    <w:p w14:paraId="37BA1C2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当符合上述（1）～（3）条中的任何一条时，判定为肾损害严重不良反应。</w:t>
      </w:r>
    </w:p>
    <w:p w14:paraId="4E2F9414">
      <w:pPr>
        <w:topLinePunct/>
        <w:adjustRightInd w:val="0"/>
        <w:snapToGrid w:val="0"/>
        <w:spacing w:line="360" w:lineRule="auto"/>
        <w:rPr>
          <w:rFonts w:ascii="Times New Roman" w:hAnsi="Times New Roman" w:eastAsia="宋体" w:cstheme="minorEastAsia"/>
          <w:b/>
          <w:bCs/>
          <w:snapToGrid w:val="0"/>
          <w:color w:val="auto"/>
          <w:kern w:val="0"/>
          <w:sz w:val="24"/>
          <w:lang w:bidi="ar"/>
        </w:rPr>
      </w:pPr>
      <w:r>
        <w:rPr>
          <w:rFonts w:hint="eastAsia" w:ascii="Times New Roman" w:hAnsi="Times New Roman" w:eastAsia="宋体" w:cstheme="minorEastAsia"/>
          <w:b w:val="0"/>
          <w:bCs w:val="0"/>
          <w:snapToGrid w:val="0"/>
          <w:color w:val="auto"/>
          <w:kern w:val="0"/>
          <w:sz w:val="24"/>
          <w:lang w:bidi="ar"/>
        </w:rPr>
        <w:t>6.5.4药物性肾损伤报告案例</w:t>
      </w:r>
    </w:p>
    <w:p w14:paraId="2B197129">
      <w:pPr>
        <w:spacing w:line="360" w:lineRule="auto"/>
        <w:ind w:firstLine="420" w:firstLineChars="200"/>
        <w:rPr>
          <w:rFonts w:ascii="Times New Roman" w:hAnsi="Times New Roman"/>
          <w:color w:val="auto"/>
        </w:rPr>
      </w:pPr>
      <w:r>
        <w:rPr>
          <w:rFonts w:hint="eastAsia" w:ascii="Times New Roman" w:hAnsi="Times New Roman"/>
          <w:color w:val="auto"/>
        </w:rPr>
        <w:t>陈**，男，71岁，体重70kg，联系方式1******，病历号/门诊号：****，原患疾病：髋关节骨折。既往药品不良反应/事件</w:t>
      </w:r>
      <w:r>
        <w:rPr>
          <w:rFonts w:hint="eastAsia" w:ascii="Times New Roman" w:hAnsi="Times New Roman"/>
          <w:color w:val="auto"/>
          <w:lang w:eastAsia="zh-CN"/>
        </w:rPr>
        <w:t>：</w:t>
      </w:r>
      <w:r>
        <w:rPr>
          <w:rFonts w:hint="eastAsia" w:ascii="Times New Roman" w:hAnsi="Times New Roman"/>
          <w:color w:val="auto"/>
        </w:rPr>
        <w:t>无，家族药品不良反应/事件</w:t>
      </w:r>
      <w:r>
        <w:rPr>
          <w:rFonts w:hint="eastAsia" w:ascii="Times New Roman" w:hAnsi="Times New Roman"/>
          <w:color w:val="auto"/>
          <w:lang w:eastAsia="zh-CN"/>
        </w:rPr>
        <w:t>：</w:t>
      </w:r>
      <w:r>
        <w:rPr>
          <w:rFonts w:hint="eastAsia" w:ascii="Times New Roman" w:hAnsi="Times New Roman"/>
          <w:color w:val="auto"/>
        </w:rPr>
        <w:t>不详。</w:t>
      </w:r>
    </w:p>
    <w:p w14:paraId="7DBD3DF1">
      <w:pPr>
        <w:spacing w:line="360" w:lineRule="auto"/>
        <w:ind w:firstLine="420" w:firstLineChars="200"/>
        <w:rPr>
          <w:rFonts w:ascii="Times New Roman" w:hAnsi="Times New Roman"/>
          <w:color w:val="auto"/>
        </w:rPr>
      </w:pPr>
      <w:r>
        <w:rPr>
          <w:rFonts w:hint="eastAsia" w:ascii="Times New Roman" w:hAnsi="Times New Roman"/>
          <w:color w:val="auto"/>
        </w:rPr>
        <w:t>9月5日患者因髋关节置换术后伤口感染使用注射用万古霉素1.0g ivgtt q12h（滴注时间大于1h）。用药前9月4日血肌酐</w:t>
      </w:r>
      <w:r>
        <w:rPr>
          <w:rFonts w:hint="eastAsia" w:ascii="Times New Roman" w:hAnsi="Times New Roman"/>
          <w:color w:val="auto"/>
          <w:lang w:eastAsia="zh-CN"/>
        </w:rPr>
        <w:t>：</w:t>
      </w:r>
      <w:r>
        <w:rPr>
          <w:rFonts w:hint="eastAsia" w:ascii="Times New Roman" w:hAnsi="Times New Roman"/>
          <w:color w:val="auto"/>
        </w:rPr>
        <w:t>72umol/L。9月7日血肌酐</w:t>
      </w:r>
      <w:r>
        <w:rPr>
          <w:rFonts w:hint="eastAsia" w:ascii="Times New Roman" w:hAnsi="Times New Roman"/>
          <w:color w:val="auto"/>
          <w:lang w:eastAsia="zh-CN"/>
        </w:rPr>
        <w:t>：</w:t>
      </w:r>
      <w:r>
        <w:rPr>
          <w:rFonts w:hint="eastAsia" w:ascii="Times New Roman" w:hAnsi="Times New Roman"/>
          <w:color w:val="auto"/>
        </w:rPr>
        <w:t>156.5umol/L，考虑到感染严重，未停药，加强监测。9月9日血肌酐：297umol/L，提示肾损害加重，立即停用万古霉素，调整为利奈唑胺抗感染，同时给予尿毒清颗粒5g po qid。9月13日血肌酐：217.8umol/L。9月22日血肌酐：98.5umol/L，提示肾功能基本恢复正常。</w:t>
      </w:r>
    </w:p>
    <w:p w14:paraId="21BE7EF9">
      <w:pPr>
        <w:spacing w:line="360" w:lineRule="auto"/>
        <w:ind w:firstLine="42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imes New Roman"/>
          <w:color w:val="auto"/>
          <w:szCs w:val="21"/>
        </w:rPr>
        <w:t>关联性评价</w:t>
      </w:r>
      <w:r>
        <w:rPr>
          <w:rFonts w:ascii="Times New Roman" w:hAnsi="Times New Roman" w:eastAsia="宋体" w:cs="Times New Roman"/>
          <w:color w:val="auto"/>
          <w:szCs w:val="21"/>
        </w:rPr>
        <w:t>：</w:t>
      </w:r>
      <w:r>
        <w:rPr>
          <w:rFonts w:hint="eastAsia" w:ascii="Times New Roman" w:hAnsi="Times New Roman"/>
          <w:color w:val="auto"/>
        </w:rPr>
        <w:t>患者不良反应发生与药物使用具有时间相关性；万古霉素说明书上有记载其可致肾功能异常；停药后对症处理不良反应减轻（去激发阳性）；但未重新使用相关药品（再激发未知）；该患者未使用其他药物，不能用合并疾病解释；故</w:t>
      </w:r>
      <w:r>
        <w:rPr>
          <w:rFonts w:hint="eastAsia" w:ascii="Times New Roman" w:hAnsi="Times New Roman" w:eastAsia="宋体" w:cs="Times New Roman"/>
          <w:color w:val="auto"/>
          <w:szCs w:val="21"/>
        </w:rPr>
        <w:t>关联性评价为很可能。</w:t>
      </w:r>
    </w:p>
    <w:p w14:paraId="4A1AC633">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315" w:name="_Toc29784"/>
      <w:bookmarkStart w:id="316" w:name="_Toc25968"/>
      <w:bookmarkStart w:id="317" w:name="_Toc17472"/>
      <w:bookmarkStart w:id="318" w:name="_Toc4661"/>
      <w:bookmarkStart w:id="319" w:name="_Toc19369"/>
      <w:bookmarkStart w:id="320" w:name="_Toc17815"/>
      <w:bookmarkStart w:id="321" w:name="_Toc32396"/>
      <w:bookmarkStart w:id="322" w:name="_Toc12709"/>
      <w:bookmarkStart w:id="323" w:name="_Toc15648"/>
      <w:bookmarkStart w:id="324" w:name="_Toc12633"/>
      <w:r>
        <w:rPr>
          <w:rFonts w:hint="default" w:ascii="Times New Roman" w:hAnsi="Times New Roman" w:eastAsia="黑体" w:cs="黑体"/>
          <w:snapToGrid w:val="0"/>
          <w:color w:val="auto"/>
          <w:kern w:val="0"/>
          <w:sz w:val="24"/>
          <w:lang w:bidi="ar"/>
        </w:rPr>
        <w:t>6.6 药物胃肠道不良反应判断评价标准</w:t>
      </w:r>
      <w:bookmarkEnd w:id="315"/>
      <w:bookmarkEnd w:id="316"/>
      <w:bookmarkEnd w:id="317"/>
      <w:bookmarkEnd w:id="318"/>
      <w:bookmarkEnd w:id="319"/>
      <w:bookmarkEnd w:id="320"/>
      <w:bookmarkEnd w:id="321"/>
      <w:bookmarkEnd w:id="322"/>
      <w:bookmarkEnd w:id="323"/>
      <w:bookmarkEnd w:id="324"/>
    </w:p>
    <w:p w14:paraId="2D264FD9">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6.6.1胃肠道不良反应主要表现</w:t>
      </w:r>
    </w:p>
    <w:p w14:paraId="05C49A9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药物胃肠道不良反应主要表现包括：恶心、呕吐、食欲下降、吞咽困难、腹胀、腹痛、腹泻、便秘等症状，引起胃肠道炎症、溃疡、出血、梗阻、穿孔等病变，严重时危及生命。</w:t>
      </w:r>
    </w:p>
    <w:p w14:paraId="51FF4CB4">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6.6.2胃肠道不良反应判定标准</w:t>
      </w:r>
    </w:p>
    <w:p w14:paraId="5A0E3D4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因使用药物出现恶心、呕吐、食欲下降、吞咽困难、腹胀、腹痛、腹泻、便秘等症状，和/或胃肠道炎症、溃疡、出血、梗阻、穿孔等病变，并排除其他原因所致，即可判断。</w:t>
      </w:r>
    </w:p>
    <w:p w14:paraId="2EEFEAFF">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6.6.3严重胃肠道不良反应判定标准</w:t>
      </w:r>
    </w:p>
    <w:p w14:paraId="2F147D70">
      <w:pPr>
        <w:topLinePunct/>
        <w:adjustRightInd w:val="0"/>
        <w:snapToGrid w:val="0"/>
        <w:spacing w:line="360" w:lineRule="auto"/>
        <w:ind w:firstLine="480" w:firstLineChars="200"/>
        <w:jc w:val="left"/>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对胃肠道不良反应按以下标准（表4）进行分级，3级及以上即可判定为严重胃肠道不良反应。</w:t>
      </w:r>
    </w:p>
    <w:p w14:paraId="755CD23D">
      <w:pPr>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br w:type="page"/>
      </w:r>
    </w:p>
    <w:p w14:paraId="7EF34BA0">
      <w:pPr>
        <w:topLinePunct/>
        <w:adjustRightInd w:val="0"/>
        <w:snapToGrid w:val="0"/>
        <w:jc w:val="center"/>
        <w:rPr>
          <w:rFonts w:ascii="Times New Roman" w:hAnsi="Times New Roman" w:eastAsia="宋体" w:cstheme="minorEastAsia"/>
          <w:snapToGrid w:val="0"/>
          <w:color w:val="auto"/>
          <w:kern w:val="0"/>
          <w:szCs w:val="21"/>
          <w:lang w:bidi="ar"/>
        </w:rPr>
      </w:pPr>
      <w:r>
        <w:rPr>
          <w:rFonts w:hint="eastAsia" w:ascii="Times New Roman" w:hAnsi="Times New Roman" w:eastAsia="宋体" w:cstheme="minorEastAsia"/>
          <w:snapToGrid w:val="0"/>
          <w:color w:val="auto"/>
          <w:kern w:val="0"/>
          <w:szCs w:val="21"/>
          <w:lang w:bidi="ar"/>
        </w:rPr>
        <w:t>表4胃肠道不良反应分级标准</w:t>
      </w:r>
    </w:p>
    <w:tbl>
      <w:tblPr>
        <w:tblStyle w:val="25"/>
        <w:tblW w:w="7934"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021"/>
        <w:gridCol w:w="1507"/>
        <w:gridCol w:w="1520"/>
        <w:gridCol w:w="2198"/>
        <w:gridCol w:w="1167"/>
        <w:gridCol w:w="521"/>
      </w:tblGrid>
      <w:tr w14:paraId="1FC3538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32" w:hRule="atLeast"/>
          <w:jc w:val="center"/>
        </w:trPr>
        <w:tc>
          <w:tcPr>
            <w:tcW w:w="1021" w:type="dxa"/>
            <w:tcBorders>
              <w:top w:val="single" w:color="231F20" w:sz="6" w:space="0"/>
              <w:bottom w:val="single" w:color="231F20" w:sz="4" w:space="0"/>
            </w:tcBorders>
            <w:vAlign w:val="center"/>
          </w:tcPr>
          <w:p w14:paraId="50982A6F">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不良事件</w:t>
            </w:r>
          </w:p>
        </w:tc>
        <w:tc>
          <w:tcPr>
            <w:tcW w:w="1507" w:type="dxa"/>
            <w:tcBorders>
              <w:top w:val="single" w:color="231F20" w:sz="6" w:space="0"/>
              <w:bottom w:val="single" w:color="231F20" w:sz="4" w:space="0"/>
            </w:tcBorders>
            <w:vAlign w:val="center"/>
          </w:tcPr>
          <w:p w14:paraId="4A658D9A">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w:t>
            </w:r>
          </w:p>
        </w:tc>
        <w:tc>
          <w:tcPr>
            <w:tcW w:w="1520" w:type="dxa"/>
            <w:tcBorders>
              <w:top w:val="single" w:color="231F20" w:sz="6" w:space="0"/>
              <w:bottom w:val="single" w:color="231F20" w:sz="4" w:space="0"/>
            </w:tcBorders>
            <w:vAlign w:val="center"/>
          </w:tcPr>
          <w:p w14:paraId="4539FC3C">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w:t>
            </w:r>
          </w:p>
        </w:tc>
        <w:tc>
          <w:tcPr>
            <w:tcW w:w="2198" w:type="dxa"/>
            <w:tcBorders>
              <w:top w:val="single" w:color="231F20" w:sz="6" w:space="0"/>
              <w:bottom w:val="single" w:color="231F20" w:sz="4" w:space="0"/>
            </w:tcBorders>
            <w:vAlign w:val="center"/>
          </w:tcPr>
          <w:p w14:paraId="293F8808">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3</w:t>
            </w:r>
          </w:p>
        </w:tc>
        <w:tc>
          <w:tcPr>
            <w:tcW w:w="1167" w:type="dxa"/>
            <w:tcBorders>
              <w:top w:val="single" w:color="231F20" w:sz="6" w:space="0"/>
              <w:bottom w:val="single" w:color="231F20" w:sz="4" w:space="0"/>
            </w:tcBorders>
            <w:vAlign w:val="center"/>
          </w:tcPr>
          <w:p w14:paraId="650D1FCE">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4</w:t>
            </w:r>
          </w:p>
        </w:tc>
        <w:tc>
          <w:tcPr>
            <w:tcW w:w="521" w:type="dxa"/>
            <w:tcBorders>
              <w:top w:val="single" w:color="231F20" w:sz="6" w:space="0"/>
              <w:bottom w:val="single" w:color="231F20" w:sz="4" w:space="0"/>
            </w:tcBorders>
            <w:vAlign w:val="center"/>
          </w:tcPr>
          <w:p w14:paraId="46A7212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5</w:t>
            </w:r>
          </w:p>
        </w:tc>
      </w:tr>
      <w:tr w14:paraId="522F2B9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52" w:hRule="atLeast"/>
          <w:jc w:val="center"/>
        </w:trPr>
        <w:tc>
          <w:tcPr>
            <w:tcW w:w="1021" w:type="dxa"/>
            <w:tcBorders>
              <w:top w:val="single" w:color="231F20" w:sz="4" w:space="0"/>
            </w:tcBorders>
            <w:vAlign w:val="center"/>
          </w:tcPr>
          <w:p w14:paraId="75A112D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恶心</w:t>
            </w:r>
          </w:p>
        </w:tc>
        <w:tc>
          <w:tcPr>
            <w:tcW w:w="1507" w:type="dxa"/>
            <w:tcBorders>
              <w:top w:val="single" w:color="231F20" w:sz="4" w:space="0"/>
            </w:tcBorders>
            <w:vAlign w:val="center"/>
          </w:tcPr>
          <w:p w14:paraId="2135AC87">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食欲降低，不伴进食习惯改变</w:t>
            </w:r>
          </w:p>
        </w:tc>
        <w:tc>
          <w:tcPr>
            <w:tcW w:w="1520" w:type="dxa"/>
            <w:tcBorders>
              <w:top w:val="single" w:color="231F20" w:sz="4" w:space="0"/>
            </w:tcBorders>
            <w:vAlign w:val="center"/>
          </w:tcPr>
          <w:p w14:paraId="49260BB0">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经口摄食减少不伴明显的体重下降，脱水或营养不良</w:t>
            </w:r>
          </w:p>
        </w:tc>
        <w:tc>
          <w:tcPr>
            <w:tcW w:w="2198" w:type="dxa"/>
            <w:tcBorders>
              <w:top w:val="single" w:color="231F20" w:sz="4" w:space="0"/>
            </w:tcBorders>
            <w:vAlign w:val="center"/>
          </w:tcPr>
          <w:p w14:paraId="056E7FC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经口摄入能量和水分不足；需要鼻饲，全肠外营养或者住院</w:t>
            </w:r>
          </w:p>
        </w:tc>
        <w:tc>
          <w:tcPr>
            <w:tcW w:w="1167" w:type="dxa"/>
            <w:tcBorders>
              <w:top w:val="single" w:color="231F20" w:sz="4" w:space="0"/>
            </w:tcBorders>
            <w:vAlign w:val="center"/>
          </w:tcPr>
          <w:p w14:paraId="1814036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tcBorders>
              <w:top w:val="single" w:color="231F20" w:sz="4" w:space="0"/>
            </w:tcBorders>
            <w:vAlign w:val="center"/>
          </w:tcPr>
          <w:p w14:paraId="0B9E9C8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00F1D35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4" w:hRule="atLeast"/>
          <w:jc w:val="center"/>
        </w:trPr>
        <w:tc>
          <w:tcPr>
            <w:tcW w:w="1021" w:type="dxa"/>
            <w:vAlign w:val="center"/>
          </w:tcPr>
          <w:p w14:paraId="73C3A2C8">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呕吐</w:t>
            </w:r>
          </w:p>
        </w:tc>
        <w:tc>
          <w:tcPr>
            <w:tcW w:w="1507" w:type="dxa"/>
            <w:vAlign w:val="center"/>
          </w:tcPr>
          <w:p w14:paraId="27E0FD63">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24h内发作1～2次（间隔5分钟）</w:t>
            </w:r>
          </w:p>
        </w:tc>
        <w:tc>
          <w:tcPr>
            <w:tcW w:w="1520" w:type="dxa"/>
            <w:vAlign w:val="center"/>
          </w:tcPr>
          <w:p w14:paraId="508810E2">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24h内发作3～5次（间隔5分钟）</w:t>
            </w:r>
          </w:p>
        </w:tc>
        <w:tc>
          <w:tcPr>
            <w:tcW w:w="2198" w:type="dxa"/>
            <w:vAlign w:val="center"/>
          </w:tcPr>
          <w:p w14:paraId="60DDB75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24h内发作≥6次（间隔5分钟）</w:t>
            </w:r>
          </w:p>
        </w:tc>
        <w:tc>
          <w:tcPr>
            <w:tcW w:w="1167" w:type="dxa"/>
            <w:vAlign w:val="center"/>
          </w:tcPr>
          <w:p w14:paraId="5FE3F86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2317F44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3DAF111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8" w:hRule="atLeast"/>
          <w:jc w:val="center"/>
        </w:trPr>
        <w:tc>
          <w:tcPr>
            <w:tcW w:w="1021" w:type="dxa"/>
            <w:vAlign w:val="center"/>
          </w:tcPr>
          <w:p w14:paraId="073B578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吞咽困难</w:t>
            </w:r>
          </w:p>
        </w:tc>
        <w:tc>
          <w:tcPr>
            <w:tcW w:w="1507" w:type="dxa"/>
            <w:vAlign w:val="center"/>
          </w:tcPr>
          <w:p w14:paraId="6FA8B889">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偶尔发生吞咽困难，可进软食</w:t>
            </w:r>
          </w:p>
        </w:tc>
        <w:tc>
          <w:tcPr>
            <w:tcW w:w="1520" w:type="dxa"/>
            <w:vAlign w:val="center"/>
          </w:tcPr>
          <w:p w14:paraId="393B00E0">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可进半流质饮食</w:t>
            </w:r>
          </w:p>
        </w:tc>
        <w:tc>
          <w:tcPr>
            <w:tcW w:w="2198" w:type="dxa"/>
            <w:vAlign w:val="center"/>
          </w:tcPr>
          <w:p w14:paraId="029C362D">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仅能进流质饮食</w:t>
            </w:r>
          </w:p>
        </w:tc>
        <w:tc>
          <w:tcPr>
            <w:tcW w:w="1167" w:type="dxa"/>
            <w:vAlign w:val="center"/>
          </w:tcPr>
          <w:p w14:paraId="742A7A40">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不能进食，水及唾液也难咽下</w:t>
            </w:r>
          </w:p>
        </w:tc>
        <w:tc>
          <w:tcPr>
            <w:tcW w:w="521" w:type="dxa"/>
            <w:vAlign w:val="center"/>
          </w:tcPr>
          <w:p w14:paraId="06BFD3DB">
            <w:pPr>
              <w:topLinePunct/>
              <w:adjustRightInd w:val="0"/>
              <w:snapToGrid w:val="0"/>
              <w:jc w:val="center"/>
              <w:rPr>
                <w:rFonts w:ascii="Times New Roman" w:hAnsi="Times New Roman" w:eastAsia="宋体" w:cstheme="minorEastAsia"/>
                <w:snapToGrid w:val="0"/>
                <w:color w:val="auto"/>
                <w:kern w:val="0"/>
                <w:sz w:val="18"/>
                <w:szCs w:val="18"/>
                <w:lang w:bidi="ar"/>
              </w:rPr>
            </w:pPr>
          </w:p>
        </w:tc>
      </w:tr>
      <w:tr w14:paraId="5DA269A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52" w:hRule="atLeast"/>
          <w:jc w:val="center"/>
        </w:trPr>
        <w:tc>
          <w:tcPr>
            <w:tcW w:w="1021" w:type="dxa"/>
            <w:vAlign w:val="center"/>
          </w:tcPr>
          <w:p w14:paraId="09E1E2B7">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食欲下降</w:t>
            </w:r>
          </w:p>
        </w:tc>
        <w:tc>
          <w:tcPr>
            <w:tcW w:w="1507" w:type="dxa"/>
            <w:vAlign w:val="center"/>
          </w:tcPr>
          <w:p w14:paraId="1827199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无进食习惯改变</w:t>
            </w:r>
          </w:p>
        </w:tc>
        <w:tc>
          <w:tcPr>
            <w:tcW w:w="1520" w:type="dxa"/>
            <w:vAlign w:val="center"/>
          </w:tcPr>
          <w:p w14:paraId="14D9D4A9">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经口摄食减少不伴明显的体重下降，脱水或营养不良</w:t>
            </w:r>
          </w:p>
        </w:tc>
        <w:tc>
          <w:tcPr>
            <w:tcW w:w="2198" w:type="dxa"/>
            <w:vAlign w:val="center"/>
          </w:tcPr>
          <w:p w14:paraId="2D8ABAC5">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经口摄入能量和水分不足；需要鼻饲，全肠外营养或者住院</w:t>
            </w:r>
          </w:p>
        </w:tc>
        <w:tc>
          <w:tcPr>
            <w:tcW w:w="1167" w:type="dxa"/>
            <w:vAlign w:val="center"/>
          </w:tcPr>
          <w:p w14:paraId="091E3116">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vAlign w:val="center"/>
          </w:tcPr>
          <w:p w14:paraId="491AD70A">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0C3DA2D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7" w:hRule="atLeast"/>
          <w:jc w:val="center"/>
        </w:trPr>
        <w:tc>
          <w:tcPr>
            <w:tcW w:w="1021" w:type="dxa"/>
            <w:vAlign w:val="center"/>
          </w:tcPr>
          <w:p w14:paraId="58518DF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腹痛</w:t>
            </w:r>
          </w:p>
        </w:tc>
        <w:tc>
          <w:tcPr>
            <w:tcW w:w="1507" w:type="dxa"/>
            <w:vAlign w:val="center"/>
          </w:tcPr>
          <w:p w14:paraId="6DCAFB8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轻度疼痛，不影响日常生活</w:t>
            </w:r>
          </w:p>
        </w:tc>
        <w:tc>
          <w:tcPr>
            <w:tcW w:w="1520" w:type="dxa"/>
            <w:vAlign w:val="center"/>
          </w:tcPr>
          <w:p w14:paraId="2571CCB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中度疼痛，对日常生活稍有影响</w:t>
            </w:r>
          </w:p>
        </w:tc>
        <w:tc>
          <w:tcPr>
            <w:tcW w:w="2198" w:type="dxa"/>
            <w:vAlign w:val="center"/>
          </w:tcPr>
          <w:p w14:paraId="614CB83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重度疼痛，明显影响日常生活，需用药物治疗</w:t>
            </w:r>
          </w:p>
        </w:tc>
        <w:tc>
          <w:tcPr>
            <w:tcW w:w="1167" w:type="dxa"/>
            <w:vAlign w:val="center"/>
          </w:tcPr>
          <w:p w14:paraId="1D4B64C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vAlign w:val="center"/>
          </w:tcPr>
          <w:p w14:paraId="748F1CB3">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594AB96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50" w:hRule="atLeast"/>
          <w:jc w:val="center"/>
        </w:trPr>
        <w:tc>
          <w:tcPr>
            <w:tcW w:w="1021" w:type="dxa"/>
            <w:vAlign w:val="center"/>
          </w:tcPr>
          <w:p w14:paraId="2A07CAE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腹泻</w:t>
            </w:r>
          </w:p>
        </w:tc>
        <w:tc>
          <w:tcPr>
            <w:tcW w:w="1507" w:type="dxa"/>
            <w:vAlign w:val="center"/>
          </w:tcPr>
          <w:p w14:paraId="37E9B6F7">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与基线相比，大便次数增加每天＜4次；或造瘘口排出物轻度增加</w:t>
            </w:r>
          </w:p>
        </w:tc>
        <w:tc>
          <w:tcPr>
            <w:tcW w:w="1520" w:type="dxa"/>
            <w:vAlign w:val="center"/>
          </w:tcPr>
          <w:p w14:paraId="31980CDD">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与基线相比，大便次数增加每天4~6次；造瘘口排出物中度增加</w:t>
            </w:r>
          </w:p>
        </w:tc>
        <w:tc>
          <w:tcPr>
            <w:tcW w:w="2198" w:type="dxa"/>
            <w:vAlign w:val="center"/>
          </w:tcPr>
          <w:p w14:paraId="6300CC9E">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与基线相比，大便次数增加每天≥7次；大便失禁；需要</w:t>
            </w:r>
            <w:r>
              <w:rPr>
                <w:rFonts w:hint="eastAsia" w:ascii="Times New Roman" w:hAnsi="Times New Roman" w:eastAsia="宋体" w:cstheme="minorEastAsia"/>
                <w:snapToGrid w:val="0"/>
                <w:color w:val="auto"/>
                <w:kern w:val="0"/>
                <w:sz w:val="18"/>
                <w:szCs w:val="18"/>
                <w:lang w:val="en-US" w:eastAsia="zh-CN" w:bidi="ar"/>
              </w:rPr>
              <w:t>住</w:t>
            </w:r>
            <w:r>
              <w:rPr>
                <w:rFonts w:hint="eastAsia" w:ascii="Times New Roman" w:hAnsi="Times New Roman" w:eastAsia="宋体" w:cstheme="minorEastAsia"/>
                <w:snapToGrid w:val="0"/>
                <w:color w:val="auto"/>
                <w:kern w:val="0"/>
                <w:sz w:val="18"/>
                <w:szCs w:val="18"/>
                <w:lang w:bidi="ar"/>
              </w:rPr>
              <w:t>院治疗；与基线相比，造瘘口排出物重度增加；影响日常生活活动</w:t>
            </w:r>
          </w:p>
        </w:tc>
        <w:tc>
          <w:tcPr>
            <w:tcW w:w="1167" w:type="dxa"/>
            <w:vAlign w:val="center"/>
          </w:tcPr>
          <w:p w14:paraId="251291B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0CC98A36">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615E9B5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33" w:hRule="atLeast"/>
          <w:jc w:val="center"/>
        </w:trPr>
        <w:tc>
          <w:tcPr>
            <w:tcW w:w="1021" w:type="dxa"/>
            <w:vAlign w:val="center"/>
          </w:tcPr>
          <w:p w14:paraId="08F666AC">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便秘</w:t>
            </w:r>
          </w:p>
        </w:tc>
        <w:tc>
          <w:tcPr>
            <w:tcW w:w="1507" w:type="dxa"/>
            <w:vAlign w:val="center"/>
          </w:tcPr>
          <w:p w14:paraId="187EEEF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偶然或间断性出现；偶尔需要使用通便药物、饮食习惯调整或灌肠</w:t>
            </w:r>
          </w:p>
        </w:tc>
        <w:tc>
          <w:tcPr>
            <w:tcW w:w="1520" w:type="dxa"/>
            <w:vAlign w:val="center"/>
          </w:tcPr>
          <w:p w14:paraId="02DA88E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症状持续，需要有规律地使用缓泻药或灌肠，对日常生活活动稍有影响</w:t>
            </w:r>
          </w:p>
        </w:tc>
        <w:tc>
          <w:tcPr>
            <w:tcW w:w="2198" w:type="dxa"/>
            <w:vAlign w:val="center"/>
          </w:tcPr>
          <w:p w14:paraId="6B066A24">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需手工疏通的顽固性便秘；明显影响日常生活活动</w:t>
            </w:r>
          </w:p>
        </w:tc>
        <w:tc>
          <w:tcPr>
            <w:tcW w:w="1167" w:type="dxa"/>
            <w:vAlign w:val="center"/>
          </w:tcPr>
          <w:p w14:paraId="500AF94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5F6877F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352D261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33" w:hRule="atLeast"/>
          <w:jc w:val="center"/>
        </w:trPr>
        <w:tc>
          <w:tcPr>
            <w:tcW w:w="1021" w:type="dxa"/>
            <w:vAlign w:val="center"/>
          </w:tcPr>
          <w:p w14:paraId="46FBCCF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腹胀</w:t>
            </w:r>
          </w:p>
        </w:tc>
        <w:tc>
          <w:tcPr>
            <w:tcW w:w="1507" w:type="dxa"/>
            <w:vAlign w:val="center"/>
          </w:tcPr>
          <w:p w14:paraId="3B719A84">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无症状，或仅见腹部膨隆，不影响肠道功能及进食</w:t>
            </w:r>
          </w:p>
        </w:tc>
        <w:tc>
          <w:tcPr>
            <w:tcW w:w="1520" w:type="dxa"/>
            <w:vAlign w:val="center"/>
          </w:tcPr>
          <w:p w14:paraId="0BE843BB">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有症状，进食减少；影响肠道功能，影响工具性日常生活活动</w:t>
            </w:r>
          </w:p>
        </w:tc>
        <w:tc>
          <w:tcPr>
            <w:tcW w:w="2198" w:type="dxa"/>
            <w:vAlign w:val="center"/>
          </w:tcPr>
          <w:p w14:paraId="23B4C9C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重度不适，影响日常生活活动</w:t>
            </w:r>
          </w:p>
        </w:tc>
        <w:tc>
          <w:tcPr>
            <w:tcW w:w="1167" w:type="dxa"/>
            <w:vAlign w:val="center"/>
          </w:tcPr>
          <w:p w14:paraId="33ED2B8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vAlign w:val="center"/>
          </w:tcPr>
          <w:p w14:paraId="4CA7531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1F6B486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6" w:hRule="atLeast"/>
          <w:jc w:val="center"/>
        </w:trPr>
        <w:tc>
          <w:tcPr>
            <w:tcW w:w="1021" w:type="dxa"/>
            <w:vAlign w:val="center"/>
          </w:tcPr>
          <w:p w14:paraId="6BC1259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大便失禁</w:t>
            </w:r>
          </w:p>
        </w:tc>
        <w:tc>
          <w:tcPr>
            <w:tcW w:w="1507" w:type="dxa"/>
            <w:vAlign w:val="center"/>
          </w:tcPr>
          <w:p w14:paraId="0C0FB79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偶尔需要使用垫子</w:t>
            </w:r>
          </w:p>
        </w:tc>
        <w:tc>
          <w:tcPr>
            <w:tcW w:w="1520" w:type="dxa"/>
            <w:vAlign w:val="center"/>
          </w:tcPr>
          <w:p w14:paraId="2B83A09E">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每日需要使用垫子</w:t>
            </w:r>
          </w:p>
        </w:tc>
        <w:tc>
          <w:tcPr>
            <w:tcW w:w="2198" w:type="dxa"/>
            <w:vAlign w:val="center"/>
          </w:tcPr>
          <w:p w14:paraId="07AF475B">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需要择期手术治疗</w:t>
            </w:r>
          </w:p>
        </w:tc>
        <w:tc>
          <w:tcPr>
            <w:tcW w:w="1167" w:type="dxa"/>
            <w:vAlign w:val="center"/>
          </w:tcPr>
          <w:p w14:paraId="457488A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vAlign w:val="center"/>
          </w:tcPr>
          <w:p w14:paraId="130F4ACA">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6C92996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6" w:hRule="atLeast"/>
          <w:jc w:val="center"/>
        </w:trPr>
        <w:tc>
          <w:tcPr>
            <w:tcW w:w="1021" w:type="dxa"/>
            <w:vAlign w:val="center"/>
          </w:tcPr>
          <w:p w14:paraId="492BE93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胃食管</w:t>
            </w:r>
            <w:r>
              <w:rPr>
                <w:rFonts w:hint="eastAsia" w:ascii="Times New Roman" w:hAnsi="Times New Roman" w:eastAsia="宋体" w:cstheme="minorEastAsia"/>
                <w:snapToGrid w:val="0"/>
                <w:color w:val="auto"/>
                <w:kern w:val="0"/>
                <w:sz w:val="18"/>
                <w:szCs w:val="18"/>
                <w:lang w:eastAsia="zh-CN" w:bidi="ar"/>
              </w:rPr>
              <w:t>反流</w:t>
            </w:r>
          </w:p>
        </w:tc>
        <w:tc>
          <w:tcPr>
            <w:tcW w:w="1507" w:type="dxa"/>
            <w:vAlign w:val="center"/>
          </w:tcPr>
          <w:p w14:paraId="3FEB820C">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症状轻微，无需治疗</w:t>
            </w:r>
          </w:p>
        </w:tc>
        <w:tc>
          <w:tcPr>
            <w:tcW w:w="1520" w:type="dxa"/>
            <w:vAlign w:val="center"/>
          </w:tcPr>
          <w:p w14:paraId="294C33EB">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需要药物治疗</w:t>
            </w:r>
          </w:p>
        </w:tc>
        <w:tc>
          <w:tcPr>
            <w:tcW w:w="2198" w:type="dxa"/>
            <w:vAlign w:val="center"/>
          </w:tcPr>
          <w:p w14:paraId="0E91B472">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出现溃疡、狭窄等，需要持续药物治疗或手术治疗</w:t>
            </w:r>
          </w:p>
        </w:tc>
        <w:tc>
          <w:tcPr>
            <w:tcW w:w="1167" w:type="dxa"/>
            <w:vAlign w:val="center"/>
          </w:tcPr>
          <w:p w14:paraId="567AA01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c>
          <w:tcPr>
            <w:tcW w:w="521" w:type="dxa"/>
            <w:vAlign w:val="center"/>
          </w:tcPr>
          <w:p w14:paraId="7788DA3A">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w:t>
            </w:r>
          </w:p>
        </w:tc>
      </w:tr>
      <w:tr w14:paraId="4CB0D16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45" w:hRule="atLeast"/>
          <w:jc w:val="center"/>
        </w:trPr>
        <w:tc>
          <w:tcPr>
            <w:tcW w:w="1021" w:type="dxa"/>
            <w:vAlign w:val="center"/>
          </w:tcPr>
          <w:p w14:paraId="228E5CD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胃炎</w:t>
            </w:r>
          </w:p>
        </w:tc>
        <w:tc>
          <w:tcPr>
            <w:tcW w:w="1507" w:type="dxa"/>
            <w:vAlign w:val="center"/>
          </w:tcPr>
          <w:p w14:paraId="1E1110C7">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无症状；仅内镜检查时</w:t>
            </w:r>
            <w:r>
              <w:rPr>
                <w:rFonts w:hint="eastAsia" w:ascii="Times New Roman" w:hAnsi="Times New Roman" w:eastAsia="宋体" w:cstheme="minorEastAsia"/>
                <w:snapToGrid w:val="0"/>
                <w:color w:val="auto"/>
                <w:kern w:val="0"/>
                <w:sz w:val="18"/>
                <w:szCs w:val="18"/>
                <w:lang w:val="en-US" w:eastAsia="zh-CN" w:bidi="ar"/>
              </w:rPr>
              <w:t>出</w:t>
            </w:r>
            <w:r>
              <w:rPr>
                <w:rFonts w:hint="eastAsia" w:ascii="Times New Roman" w:hAnsi="Times New Roman" w:eastAsia="宋体" w:cstheme="minorEastAsia"/>
                <w:snapToGrid w:val="0"/>
                <w:color w:val="auto"/>
                <w:kern w:val="0"/>
                <w:sz w:val="18"/>
                <w:szCs w:val="18"/>
                <w:lang w:bidi="ar"/>
              </w:rPr>
              <w:t>现；无需治疗</w:t>
            </w:r>
          </w:p>
        </w:tc>
        <w:tc>
          <w:tcPr>
            <w:tcW w:w="1520" w:type="dxa"/>
            <w:vAlign w:val="center"/>
          </w:tcPr>
          <w:p w14:paraId="32EEAA0B">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有症状；且影响胃肠道功能；需要治疗</w:t>
            </w:r>
          </w:p>
        </w:tc>
        <w:tc>
          <w:tcPr>
            <w:tcW w:w="2198" w:type="dxa"/>
            <w:vAlign w:val="center"/>
          </w:tcPr>
          <w:p w14:paraId="371FEDE8">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进食受限；需要肠外营养或住院治疗</w:t>
            </w:r>
          </w:p>
        </w:tc>
        <w:tc>
          <w:tcPr>
            <w:tcW w:w="1167" w:type="dxa"/>
            <w:vAlign w:val="center"/>
          </w:tcPr>
          <w:p w14:paraId="67DA94B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危及生命；需要紧急手术治疗</w:t>
            </w:r>
          </w:p>
        </w:tc>
        <w:tc>
          <w:tcPr>
            <w:tcW w:w="521" w:type="dxa"/>
            <w:vAlign w:val="center"/>
          </w:tcPr>
          <w:p w14:paraId="5D74B76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5AAA704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33" w:hRule="atLeast"/>
          <w:jc w:val="center"/>
        </w:trPr>
        <w:tc>
          <w:tcPr>
            <w:tcW w:w="1021" w:type="dxa"/>
            <w:vAlign w:val="center"/>
          </w:tcPr>
          <w:p w14:paraId="154FFCF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胃、十二指肠溃疡</w:t>
            </w:r>
          </w:p>
        </w:tc>
        <w:tc>
          <w:tcPr>
            <w:tcW w:w="1507" w:type="dxa"/>
            <w:vAlign w:val="center"/>
          </w:tcPr>
          <w:p w14:paraId="0BA27F00">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无症状，仅临床检查和诊断发现</w:t>
            </w:r>
          </w:p>
        </w:tc>
        <w:tc>
          <w:tcPr>
            <w:tcW w:w="1520" w:type="dxa"/>
            <w:vAlign w:val="center"/>
          </w:tcPr>
          <w:p w14:paraId="427514B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有症状；胃肠道功能改变；对日常生活活动稍有影响</w:t>
            </w:r>
          </w:p>
        </w:tc>
        <w:tc>
          <w:tcPr>
            <w:tcW w:w="2198" w:type="dxa"/>
            <w:vAlign w:val="center"/>
          </w:tcPr>
          <w:p w14:paraId="270F9F43">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伴活动性出血、穿孔、梗阻等并发症；需要全胃肠外营养；择期手术治疗或内窥镜治疗；明显影响日常生活活动</w:t>
            </w:r>
          </w:p>
        </w:tc>
        <w:tc>
          <w:tcPr>
            <w:tcW w:w="1167" w:type="dxa"/>
            <w:vAlign w:val="center"/>
          </w:tcPr>
          <w:p w14:paraId="52FD983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危及生命；需要紧急手术治疗</w:t>
            </w:r>
          </w:p>
        </w:tc>
        <w:tc>
          <w:tcPr>
            <w:tcW w:w="521" w:type="dxa"/>
            <w:vAlign w:val="center"/>
          </w:tcPr>
          <w:p w14:paraId="1877A1B8">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4110E59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3" w:hRule="atLeast"/>
          <w:jc w:val="center"/>
        </w:trPr>
        <w:tc>
          <w:tcPr>
            <w:tcW w:w="1021" w:type="dxa"/>
            <w:vAlign w:val="center"/>
          </w:tcPr>
          <w:p w14:paraId="7D8A0BF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消化道出血</w:t>
            </w:r>
          </w:p>
        </w:tc>
        <w:tc>
          <w:tcPr>
            <w:tcW w:w="1507" w:type="dxa"/>
            <w:vAlign w:val="center"/>
          </w:tcPr>
          <w:p w14:paraId="2DD5757F">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无需治疗</w:t>
            </w:r>
          </w:p>
        </w:tc>
        <w:tc>
          <w:tcPr>
            <w:tcW w:w="1520" w:type="dxa"/>
            <w:vAlign w:val="center"/>
          </w:tcPr>
          <w:p w14:paraId="4A29ED05">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需要治疗或简单的止血治疗</w:t>
            </w:r>
          </w:p>
        </w:tc>
        <w:tc>
          <w:tcPr>
            <w:tcW w:w="2198" w:type="dxa"/>
            <w:vAlign w:val="center"/>
          </w:tcPr>
          <w:p w14:paraId="297E8D4D">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需要输血；需要内镜或择期手术治疗</w:t>
            </w:r>
          </w:p>
        </w:tc>
        <w:tc>
          <w:tcPr>
            <w:tcW w:w="1167" w:type="dxa"/>
            <w:vAlign w:val="center"/>
          </w:tcPr>
          <w:p w14:paraId="0AE7909C">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6D0BF5CC">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5904E44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33" w:hRule="atLeast"/>
          <w:jc w:val="center"/>
        </w:trPr>
        <w:tc>
          <w:tcPr>
            <w:tcW w:w="1021" w:type="dxa"/>
            <w:vAlign w:val="center"/>
          </w:tcPr>
          <w:p w14:paraId="73D3A789">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肠梗阻</w:t>
            </w:r>
          </w:p>
        </w:tc>
        <w:tc>
          <w:tcPr>
            <w:tcW w:w="1507" w:type="dxa"/>
            <w:vAlign w:val="center"/>
          </w:tcPr>
          <w:p w14:paraId="349C11CC">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无症状；仅临床检查和诊断发现；无需治疗</w:t>
            </w:r>
          </w:p>
        </w:tc>
        <w:tc>
          <w:tcPr>
            <w:tcW w:w="1520" w:type="dxa"/>
            <w:vAlign w:val="center"/>
          </w:tcPr>
          <w:p w14:paraId="32018F1D">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有症状；胃肠道功能改变；轻微影响日常生活活动</w:t>
            </w:r>
          </w:p>
        </w:tc>
        <w:tc>
          <w:tcPr>
            <w:tcW w:w="2198" w:type="dxa"/>
            <w:vAlign w:val="center"/>
          </w:tcPr>
          <w:p w14:paraId="7BBBD87D">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需要住院治疗；需要择期手术治疗；肠切除影响营养物质吸收；明显影响日常生活活动</w:t>
            </w:r>
          </w:p>
        </w:tc>
        <w:tc>
          <w:tcPr>
            <w:tcW w:w="1167" w:type="dxa"/>
            <w:vAlign w:val="center"/>
          </w:tcPr>
          <w:p w14:paraId="16E48B03">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41C4BF49">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5F5FC0F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29" w:hRule="atLeast"/>
          <w:jc w:val="center"/>
        </w:trPr>
        <w:tc>
          <w:tcPr>
            <w:tcW w:w="1021" w:type="dxa"/>
            <w:vAlign w:val="center"/>
          </w:tcPr>
          <w:p w14:paraId="7CDB1706">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小肠结肠炎</w:t>
            </w:r>
          </w:p>
        </w:tc>
        <w:tc>
          <w:tcPr>
            <w:tcW w:w="1507" w:type="dxa"/>
            <w:vAlign w:val="center"/>
          </w:tcPr>
          <w:p w14:paraId="50A1B94F">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无症状，仅临床检查和诊断发现；无需治疗</w:t>
            </w:r>
          </w:p>
        </w:tc>
        <w:tc>
          <w:tcPr>
            <w:tcW w:w="1520" w:type="dxa"/>
            <w:vAlign w:val="center"/>
          </w:tcPr>
          <w:p w14:paraId="02E18A5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腹痛；</w:t>
            </w:r>
            <w:r>
              <w:rPr>
                <w:rFonts w:hint="eastAsia" w:ascii="Times New Roman" w:hAnsi="Times New Roman" w:eastAsia="宋体" w:cstheme="minorEastAsia"/>
                <w:snapToGrid w:val="0"/>
                <w:color w:val="auto"/>
                <w:kern w:val="0"/>
                <w:sz w:val="18"/>
                <w:szCs w:val="18"/>
                <w:lang w:eastAsia="zh-CN" w:bidi="ar"/>
              </w:rPr>
              <w:t>黏液</w:t>
            </w:r>
            <w:r>
              <w:rPr>
                <w:rFonts w:hint="eastAsia" w:ascii="Times New Roman" w:hAnsi="Times New Roman" w:eastAsia="宋体" w:cstheme="minorEastAsia"/>
                <w:snapToGrid w:val="0"/>
                <w:color w:val="auto"/>
                <w:kern w:val="0"/>
                <w:sz w:val="18"/>
                <w:szCs w:val="18"/>
                <w:lang w:bidi="ar"/>
              </w:rPr>
              <w:t>便或血便</w:t>
            </w:r>
          </w:p>
        </w:tc>
        <w:tc>
          <w:tcPr>
            <w:tcW w:w="2198" w:type="dxa"/>
            <w:vAlign w:val="center"/>
          </w:tcPr>
          <w:p w14:paraId="7BC05DD7">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重度或持续性腹痛；发热；肠梗阻；腹膜刺激征阳性</w:t>
            </w:r>
          </w:p>
        </w:tc>
        <w:tc>
          <w:tcPr>
            <w:tcW w:w="1167" w:type="dxa"/>
            <w:vAlign w:val="center"/>
          </w:tcPr>
          <w:p w14:paraId="24A83326">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1E787B3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2E2B18A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56" w:hRule="atLeast"/>
          <w:jc w:val="center"/>
        </w:trPr>
        <w:tc>
          <w:tcPr>
            <w:tcW w:w="1021" w:type="dxa"/>
            <w:vAlign w:val="center"/>
          </w:tcPr>
          <w:p w14:paraId="70189623">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结肠炎</w:t>
            </w:r>
          </w:p>
        </w:tc>
        <w:tc>
          <w:tcPr>
            <w:tcW w:w="1507" w:type="dxa"/>
            <w:vAlign w:val="center"/>
          </w:tcPr>
          <w:p w14:paraId="03D51E93">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无症状；仅临床检查或诊断所见；无需治疗</w:t>
            </w:r>
          </w:p>
        </w:tc>
        <w:tc>
          <w:tcPr>
            <w:tcW w:w="1520" w:type="dxa"/>
            <w:vAlign w:val="center"/>
          </w:tcPr>
          <w:p w14:paraId="538EE590">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腹痛；</w:t>
            </w:r>
            <w:r>
              <w:rPr>
                <w:rFonts w:hint="eastAsia" w:ascii="Times New Roman" w:hAnsi="Times New Roman" w:eastAsia="宋体" w:cstheme="minorEastAsia"/>
                <w:snapToGrid w:val="0"/>
                <w:color w:val="auto"/>
                <w:kern w:val="0"/>
                <w:sz w:val="18"/>
                <w:szCs w:val="18"/>
                <w:lang w:eastAsia="zh-CN" w:bidi="ar"/>
              </w:rPr>
              <w:t>黏液</w:t>
            </w:r>
            <w:r>
              <w:rPr>
                <w:rFonts w:hint="eastAsia" w:ascii="Times New Roman" w:hAnsi="Times New Roman" w:eastAsia="宋体" w:cstheme="minorEastAsia"/>
                <w:snapToGrid w:val="0"/>
                <w:color w:val="auto"/>
                <w:kern w:val="0"/>
                <w:sz w:val="18"/>
                <w:szCs w:val="18"/>
                <w:lang w:bidi="ar"/>
              </w:rPr>
              <w:t>便或血便</w:t>
            </w:r>
          </w:p>
        </w:tc>
        <w:tc>
          <w:tcPr>
            <w:tcW w:w="2198" w:type="dxa"/>
            <w:vAlign w:val="center"/>
          </w:tcPr>
          <w:p w14:paraId="34C0CBFE">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剧烈腹痛；排便习惯改变；需要治疗；腹膜刺激征阳性</w:t>
            </w:r>
          </w:p>
        </w:tc>
        <w:tc>
          <w:tcPr>
            <w:tcW w:w="1167" w:type="dxa"/>
            <w:vAlign w:val="center"/>
          </w:tcPr>
          <w:p w14:paraId="0D78007E">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5436B0E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r w14:paraId="38A683E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4" w:hRule="atLeast"/>
          <w:jc w:val="center"/>
        </w:trPr>
        <w:tc>
          <w:tcPr>
            <w:tcW w:w="1021" w:type="dxa"/>
            <w:vAlign w:val="center"/>
          </w:tcPr>
          <w:p w14:paraId="7C8E52F0">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直肠炎</w:t>
            </w:r>
          </w:p>
        </w:tc>
        <w:tc>
          <w:tcPr>
            <w:tcW w:w="1507" w:type="dxa"/>
            <w:vAlign w:val="center"/>
          </w:tcPr>
          <w:p w14:paraId="4745E383">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直肠不适，无需治疗</w:t>
            </w:r>
          </w:p>
        </w:tc>
        <w:tc>
          <w:tcPr>
            <w:tcW w:w="1520" w:type="dxa"/>
            <w:vAlign w:val="center"/>
          </w:tcPr>
          <w:p w14:paraId="11CA0C4F">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有症状（例如：直肠不适，带血或</w:t>
            </w:r>
            <w:r>
              <w:rPr>
                <w:rFonts w:hint="eastAsia" w:ascii="Times New Roman" w:hAnsi="Times New Roman" w:eastAsia="宋体" w:cstheme="minorEastAsia"/>
                <w:snapToGrid w:val="0"/>
                <w:color w:val="auto"/>
                <w:kern w:val="0"/>
                <w:sz w:val="18"/>
                <w:szCs w:val="18"/>
                <w:lang w:eastAsia="zh-CN" w:bidi="ar"/>
              </w:rPr>
              <w:t>黏液</w:t>
            </w:r>
            <w:r>
              <w:rPr>
                <w:rFonts w:hint="eastAsia" w:ascii="Times New Roman" w:hAnsi="Times New Roman" w:eastAsia="宋体" w:cstheme="minorEastAsia"/>
                <w:snapToGrid w:val="0"/>
                <w:color w:val="auto"/>
                <w:kern w:val="0"/>
                <w:sz w:val="18"/>
                <w:szCs w:val="18"/>
                <w:lang w:bidi="ar"/>
              </w:rPr>
              <w:t>便）；需要内科治疗；影响日常生活活动</w:t>
            </w:r>
          </w:p>
        </w:tc>
        <w:tc>
          <w:tcPr>
            <w:tcW w:w="2198" w:type="dxa"/>
            <w:vAlign w:val="center"/>
          </w:tcPr>
          <w:p w14:paraId="79D3394A">
            <w:pPr>
              <w:topLinePunct/>
              <w:adjustRightInd w:val="0"/>
              <w:snapToGrid w:val="0"/>
              <w:jc w:val="left"/>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排便紧迫感或大便失禁；影响日常生活活动</w:t>
            </w:r>
          </w:p>
        </w:tc>
        <w:tc>
          <w:tcPr>
            <w:tcW w:w="1167" w:type="dxa"/>
            <w:vAlign w:val="center"/>
          </w:tcPr>
          <w:p w14:paraId="2C089637">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危及生命；需要紧急治疗</w:t>
            </w:r>
          </w:p>
        </w:tc>
        <w:tc>
          <w:tcPr>
            <w:tcW w:w="521" w:type="dxa"/>
            <w:vAlign w:val="center"/>
          </w:tcPr>
          <w:p w14:paraId="7C6D0F20">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死亡</w:t>
            </w:r>
          </w:p>
        </w:tc>
      </w:tr>
    </w:tbl>
    <w:p w14:paraId="419A2C5B">
      <w:pPr>
        <w:topLinePunct/>
        <w:adjustRightInd w:val="0"/>
        <w:snapToGrid w:val="0"/>
        <w:spacing w:line="360" w:lineRule="auto"/>
        <w:jc w:val="left"/>
        <w:rPr>
          <w:rFonts w:ascii="Times New Roman" w:hAnsi="Times New Roman" w:eastAsia="宋体" w:cstheme="minorEastAsia"/>
          <w:snapToGrid w:val="0"/>
          <w:color w:val="auto"/>
          <w:kern w:val="0"/>
          <w:sz w:val="24"/>
          <w:lang w:bidi="ar"/>
        </w:rPr>
      </w:pPr>
    </w:p>
    <w:p w14:paraId="6D036180">
      <w:pPr>
        <w:topLinePunct/>
        <w:adjustRightInd w:val="0"/>
        <w:snapToGrid w:val="0"/>
        <w:spacing w:line="360" w:lineRule="auto"/>
        <w:jc w:val="left"/>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6.6.4胃肠道不良反应报</w:t>
      </w:r>
      <w:r>
        <w:rPr>
          <w:rFonts w:hint="eastAsia" w:ascii="Times New Roman" w:hAnsi="Times New Roman" w:eastAsia="宋体" w:cstheme="minorEastAsia"/>
          <w:snapToGrid w:val="0"/>
          <w:color w:val="auto"/>
          <w:kern w:val="0"/>
          <w:sz w:val="24"/>
          <w:lang w:val="en-US" w:eastAsia="zh-CN" w:bidi="ar"/>
        </w:rPr>
        <w:t>告</w:t>
      </w:r>
      <w:r>
        <w:rPr>
          <w:rFonts w:hint="eastAsia" w:ascii="Times New Roman" w:hAnsi="Times New Roman" w:eastAsia="宋体" w:cstheme="minorEastAsia"/>
          <w:snapToGrid w:val="0"/>
          <w:color w:val="auto"/>
          <w:kern w:val="0"/>
          <w:sz w:val="24"/>
          <w:lang w:bidi="ar"/>
        </w:rPr>
        <w:t>案例</w:t>
      </w:r>
    </w:p>
    <w:p w14:paraId="672C6266">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患者**，女，</w:t>
      </w:r>
      <w:r>
        <w:rPr>
          <w:rFonts w:hint="eastAsia" w:ascii="Times New Roman" w:hAnsi="Times New Roman" w:eastAsia="宋体" w:cs="Times New Roman"/>
          <w:color w:val="auto"/>
          <w:szCs w:val="21"/>
        </w:rPr>
        <w:t>24</w:t>
      </w:r>
      <w:r>
        <w:rPr>
          <w:rFonts w:ascii="Times New Roman" w:hAnsi="Times New Roman" w:eastAsia="宋体" w:cs="Times New Roman"/>
          <w:color w:val="auto"/>
          <w:szCs w:val="21"/>
        </w:rPr>
        <w:t>岁，汉族，体重**kg，联系方式1*****，病历号/门诊号：***，原患疾病：急性鼻窦炎。既往药品不良反应/事件</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无，家族药品不良反应/事件</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不详。</w:t>
      </w:r>
    </w:p>
    <w:p w14:paraId="655946AD">
      <w:pPr>
        <w:widowControl/>
        <w:spacing w:line="360" w:lineRule="auto"/>
        <w:ind w:firstLine="420" w:firstLineChars="200"/>
        <w:jc w:val="left"/>
        <w:rPr>
          <w:rFonts w:ascii="Times New Roman" w:hAnsi="Times New Roman" w:eastAsia="宋体" w:cs="Times New Roman"/>
          <w:color w:val="auto"/>
          <w:szCs w:val="21"/>
          <w:shd w:val="clear" w:color="auto" w:fill="FFFFFF"/>
        </w:rPr>
      </w:pPr>
      <w:r>
        <w:rPr>
          <w:rFonts w:ascii="Times New Roman" w:hAnsi="Times New Roman" w:eastAsia="宋体" w:cs="Times New Roman"/>
          <w:color w:val="auto"/>
          <w:szCs w:val="21"/>
          <w:shd w:val="clear" w:color="auto" w:fill="FFFFFF"/>
        </w:rPr>
        <w:t>9月9日20</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49</w:t>
      </w:r>
      <w:r>
        <w:rPr>
          <w:rFonts w:hint="eastAsia" w:ascii="Times New Roman" w:hAnsi="Times New Roman" w:eastAsia="宋体" w:cs="Times New Roman"/>
          <w:color w:val="auto"/>
          <w:szCs w:val="21"/>
        </w:rPr>
        <w:t>患者</w:t>
      </w:r>
      <w:r>
        <w:rPr>
          <w:rFonts w:ascii="Times New Roman" w:hAnsi="Times New Roman" w:eastAsia="宋体" w:cs="Times New Roman"/>
          <w:color w:val="auto"/>
          <w:szCs w:val="21"/>
          <w:shd w:val="clear" w:color="auto" w:fill="FFFFFF"/>
        </w:rPr>
        <w:t>因</w:t>
      </w:r>
      <w:r>
        <w:rPr>
          <w:rFonts w:ascii="Times New Roman" w:hAnsi="Times New Roman" w:eastAsia="宋体" w:cs="Times New Roman"/>
          <w:color w:val="auto"/>
          <w:szCs w:val="21"/>
        </w:rPr>
        <w:t>急性鼻窦炎</w:t>
      </w:r>
      <w:r>
        <w:rPr>
          <w:rFonts w:hint="eastAsia" w:ascii="Times New Roman" w:hAnsi="Times New Roman" w:eastAsia="宋体" w:cs="Times New Roman"/>
          <w:color w:val="auto"/>
          <w:szCs w:val="21"/>
        </w:rPr>
        <w:t>使用</w:t>
      </w:r>
      <w:r>
        <w:rPr>
          <w:rFonts w:ascii="Times New Roman" w:hAnsi="Times New Roman" w:eastAsia="宋体" w:cs="Times New Roman"/>
          <w:color w:val="auto"/>
          <w:szCs w:val="21"/>
          <w:shd w:val="clear" w:color="auto" w:fill="FFFFFF"/>
        </w:rPr>
        <w:t>注射用哌拉西林钠他唑巴坦钠4.5g</w:t>
      </w:r>
      <w:r>
        <w:rPr>
          <w:rFonts w:hint="eastAsia" w:ascii="Times New Roman" w:hAnsi="Times New Roman" w:eastAsia="宋体" w:cs="Times New Roman"/>
          <w:color w:val="auto"/>
          <w:szCs w:val="21"/>
          <w:shd w:val="clear" w:color="auto" w:fill="FFFFFF"/>
        </w:rPr>
        <w:t xml:space="preserve"> ivgtt </w:t>
      </w:r>
      <w:r>
        <w:rPr>
          <w:rFonts w:ascii="Times New Roman" w:hAnsi="Times New Roman" w:eastAsia="宋体" w:cs="Times New Roman"/>
          <w:color w:val="auto"/>
          <w:szCs w:val="21"/>
          <w:shd w:val="clear" w:color="auto" w:fill="FFFFFF"/>
        </w:rPr>
        <w:t>q8h治疗</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9月10日02</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30患者出现恶心、呕吐</w:t>
      </w:r>
      <w:r>
        <w:rPr>
          <w:rFonts w:hint="eastAsia" w:ascii="Times New Roman" w:hAnsi="Times New Roman" w:eastAsia="宋体" w:cs="Times New Roman"/>
          <w:color w:val="auto"/>
          <w:szCs w:val="21"/>
          <w:shd w:val="clear" w:color="auto" w:fill="FFFFFF"/>
        </w:rPr>
        <w:t>，吐出</w:t>
      </w:r>
      <w:r>
        <w:rPr>
          <w:rFonts w:ascii="Times New Roman" w:hAnsi="Times New Roman" w:eastAsia="宋体" w:cs="Times New Roman"/>
          <w:color w:val="auto"/>
          <w:szCs w:val="21"/>
          <w:shd w:val="clear" w:color="auto" w:fill="FFFFFF"/>
        </w:rPr>
        <w:t>黄色清亮液体</w:t>
      </w:r>
      <w:r>
        <w:rPr>
          <w:rFonts w:hint="eastAsia" w:ascii="Times New Roman" w:hAnsi="Times New Roman" w:eastAsia="宋体" w:cs="Times New Roman"/>
          <w:color w:val="auto"/>
          <w:szCs w:val="21"/>
          <w:shd w:val="clear" w:color="auto" w:fill="FFFFFF"/>
        </w:rPr>
        <w:t>约</w:t>
      </w:r>
      <w:r>
        <w:rPr>
          <w:rFonts w:ascii="Times New Roman" w:hAnsi="Times New Roman" w:eastAsia="宋体" w:cs="Times New Roman"/>
          <w:color w:val="auto"/>
          <w:szCs w:val="21"/>
          <w:shd w:val="clear" w:color="auto" w:fill="FFFFFF"/>
        </w:rPr>
        <w:t>100</w:t>
      </w:r>
      <w:r>
        <w:rPr>
          <w:rFonts w:hint="eastAsia" w:ascii="Times New Roman" w:hAnsi="Times New Roman" w:eastAsia="宋体" w:cs="Times New Roman"/>
          <w:color w:val="auto"/>
          <w:szCs w:val="21"/>
          <w:shd w:val="clear" w:color="auto" w:fill="FFFFFF"/>
          <w:lang w:eastAsia="zh-CN"/>
        </w:rPr>
        <w:t>mL</w:t>
      </w:r>
      <w:r>
        <w:rPr>
          <w:rFonts w:ascii="Times New Roman" w:hAnsi="Times New Roman" w:eastAsia="宋体" w:cs="Times New Roman"/>
          <w:color w:val="auto"/>
          <w:szCs w:val="21"/>
          <w:shd w:val="clear" w:color="auto" w:fill="FFFFFF"/>
        </w:rPr>
        <w:t>，腹泻</w:t>
      </w:r>
      <w:r>
        <w:rPr>
          <w:rFonts w:hint="eastAsia" w:ascii="Times New Roman" w:hAnsi="Times New Roman" w:eastAsia="宋体" w:cs="Times New Roman"/>
          <w:color w:val="auto"/>
          <w:szCs w:val="21"/>
          <w:shd w:val="clear" w:color="auto" w:fill="FFFFFF"/>
        </w:rPr>
        <w:t>2</w:t>
      </w:r>
      <w:r>
        <w:rPr>
          <w:rFonts w:ascii="Times New Roman" w:hAnsi="Times New Roman" w:eastAsia="宋体" w:cs="Times New Roman"/>
          <w:color w:val="auto"/>
          <w:szCs w:val="21"/>
          <w:shd w:val="clear" w:color="auto" w:fill="FFFFFF"/>
        </w:rPr>
        <w:t>次</w:t>
      </w:r>
      <w:r>
        <w:rPr>
          <w:rFonts w:hint="eastAsia" w:ascii="Times New Roman" w:hAnsi="Times New Roman" w:eastAsia="宋体" w:cs="Times New Roman"/>
          <w:color w:val="auto"/>
          <w:szCs w:val="21"/>
          <w:shd w:val="clear" w:color="auto" w:fill="FFFFFF"/>
        </w:rPr>
        <w:t>。0</w:t>
      </w:r>
      <w:r>
        <w:rPr>
          <w:rFonts w:ascii="Times New Roman" w:hAnsi="Times New Roman" w:eastAsia="宋体" w:cs="Times New Roman"/>
          <w:color w:val="auto"/>
          <w:szCs w:val="21"/>
          <w:shd w:val="clear" w:color="auto" w:fill="FFFFFF"/>
        </w:rPr>
        <w:t>4</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15患者呕吐黄色清亮液体</w:t>
      </w:r>
      <w:r>
        <w:rPr>
          <w:rFonts w:hint="eastAsia" w:ascii="Times New Roman" w:hAnsi="Times New Roman" w:eastAsia="宋体" w:cs="Times New Roman"/>
          <w:color w:val="auto"/>
          <w:szCs w:val="21"/>
          <w:shd w:val="clear" w:color="auto" w:fill="FFFFFF"/>
        </w:rPr>
        <w:t>约</w:t>
      </w:r>
      <w:r>
        <w:rPr>
          <w:rFonts w:ascii="Times New Roman" w:hAnsi="Times New Roman" w:eastAsia="宋体" w:cs="Times New Roman"/>
          <w:color w:val="auto"/>
          <w:szCs w:val="21"/>
          <w:shd w:val="clear" w:color="auto" w:fill="FFFFFF"/>
        </w:rPr>
        <w:t>50</w:t>
      </w:r>
      <w:r>
        <w:rPr>
          <w:rFonts w:hint="eastAsia" w:ascii="Times New Roman" w:hAnsi="Times New Roman" w:eastAsia="宋体" w:cs="Times New Roman"/>
          <w:color w:val="auto"/>
          <w:szCs w:val="21"/>
          <w:shd w:val="clear" w:color="auto" w:fill="FFFFFF"/>
          <w:lang w:eastAsia="zh-CN"/>
        </w:rPr>
        <w:t>mL</w:t>
      </w:r>
      <w:r>
        <w:rPr>
          <w:rFonts w:ascii="Times New Roman" w:hAnsi="Times New Roman" w:eastAsia="宋体" w:cs="Times New Roman"/>
          <w:color w:val="auto"/>
          <w:szCs w:val="21"/>
          <w:shd w:val="clear" w:color="auto" w:fill="FFFFFF"/>
        </w:rPr>
        <w:t>，腹泻</w:t>
      </w:r>
      <w:r>
        <w:rPr>
          <w:rFonts w:hint="eastAsia" w:ascii="Times New Roman" w:hAnsi="Times New Roman" w:eastAsia="宋体" w:cs="Times New Roman"/>
          <w:color w:val="auto"/>
          <w:szCs w:val="21"/>
          <w:shd w:val="clear" w:color="auto" w:fill="FFFFFF"/>
        </w:rPr>
        <w:t>3</w:t>
      </w:r>
      <w:r>
        <w:rPr>
          <w:rFonts w:ascii="Times New Roman" w:hAnsi="Times New Roman" w:eastAsia="宋体" w:cs="Times New Roman"/>
          <w:color w:val="auto"/>
          <w:szCs w:val="21"/>
          <w:shd w:val="clear" w:color="auto" w:fill="FFFFFF"/>
        </w:rPr>
        <w:t>次</w:t>
      </w:r>
      <w:r>
        <w:rPr>
          <w:rFonts w:hint="eastAsia" w:ascii="Times New Roman" w:hAnsi="Times New Roman" w:eastAsia="宋体" w:cs="Times New Roman"/>
          <w:color w:val="auto"/>
          <w:szCs w:val="21"/>
          <w:shd w:val="clear" w:color="auto" w:fill="FFFFFF"/>
        </w:rPr>
        <w:t>。医师立即</w:t>
      </w:r>
      <w:r>
        <w:rPr>
          <w:rFonts w:ascii="Times New Roman" w:hAnsi="Times New Roman" w:eastAsia="宋体" w:cs="Times New Roman"/>
          <w:color w:val="auto"/>
          <w:szCs w:val="21"/>
          <w:shd w:val="clear" w:color="auto" w:fill="FFFFFF"/>
        </w:rPr>
        <w:t>给予注射用泮托拉唑钠40 mg</w:t>
      </w:r>
      <w:r>
        <w:rPr>
          <w:rFonts w:hint="eastAsia" w:ascii="Times New Roman" w:hAnsi="Times New Roman" w:eastAsia="宋体" w:cs="Times New Roman"/>
          <w:color w:val="auto"/>
          <w:szCs w:val="21"/>
          <w:shd w:val="clear" w:color="auto" w:fill="FFFFFF"/>
        </w:rPr>
        <w:t xml:space="preserve"> ivgtt st，以及补液治疗。</w:t>
      </w:r>
      <w:r>
        <w:rPr>
          <w:rFonts w:ascii="Times New Roman" w:hAnsi="Times New Roman" w:eastAsia="宋体" w:cs="Times New Roman"/>
          <w:color w:val="auto"/>
          <w:szCs w:val="21"/>
          <w:shd w:val="clear" w:color="auto" w:fill="FFFFFF"/>
        </w:rPr>
        <w:t>4</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40患者呕吐黄色清亮液体</w:t>
      </w:r>
      <w:r>
        <w:rPr>
          <w:rFonts w:hint="eastAsia" w:ascii="Times New Roman" w:hAnsi="Times New Roman" w:eastAsia="宋体" w:cs="Times New Roman"/>
          <w:color w:val="auto"/>
          <w:szCs w:val="21"/>
          <w:shd w:val="clear" w:color="auto" w:fill="FFFFFF"/>
        </w:rPr>
        <w:t>3</w:t>
      </w:r>
      <w:r>
        <w:rPr>
          <w:rFonts w:ascii="Times New Roman" w:hAnsi="Times New Roman" w:eastAsia="宋体" w:cs="Times New Roman"/>
          <w:color w:val="auto"/>
          <w:szCs w:val="21"/>
          <w:shd w:val="clear" w:color="auto" w:fill="FFFFFF"/>
        </w:rPr>
        <w:t>0</w:t>
      </w:r>
      <w:r>
        <w:rPr>
          <w:rFonts w:hint="eastAsia" w:ascii="Times New Roman" w:hAnsi="Times New Roman" w:eastAsia="宋体" w:cs="Times New Roman"/>
          <w:color w:val="auto"/>
          <w:szCs w:val="21"/>
          <w:shd w:val="clear" w:color="auto" w:fill="FFFFFF"/>
          <w:lang w:eastAsia="zh-CN"/>
        </w:rPr>
        <w:t>mL</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腹泻</w:t>
      </w:r>
      <w:r>
        <w:rPr>
          <w:rFonts w:hint="eastAsia" w:ascii="Times New Roman" w:hAnsi="Times New Roman" w:eastAsia="宋体" w:cs="Times New Roman"/>
          <w:color w:val="auto"/>
          <w:szCs w:val="21"/>
          <w:shd w:val="clear" w:color="auto" w:fill="FFFFFF"/>
        </w:rPr>
        <w:t>2</w:t>
      </w:r>
      <w:r>
        <w:rPr>
          <w:rFonts w:ascii="Times New Roman" w:hAnsi="Times New Roman" w:eastAsia="宋体" w:cs="Times New Roman"/>
          <w:color w:val="auto"/>
          <w:szCs w:val="21"/>
          <w:shd w:val="clear" w:color="auto" w:fill="FFFFFF"/>
        </w:rPr>
        <w:t>次</w:t>
      </w:r>
      <w:r>
        <w:rPr>
          <w:rFonts w:hint="eastAsia" w:ascii="Times New Roman" w:hAnsi="Times New Roman" w:eastAsia="宋体" w:cs="Times New Roman"/>
          <w:color w:val="auto"/>
          <w:szCs w:val="21"/>
          <w:shd w:val="clear" w:color="auto" w:fill="FFFFFF"/>
        </w:rPr>
        <w:t>，嘱患者</w:t>
      </w:r>
      <w:r>
        <w:rPr>
          <w:rFonts w:ascii="Times New Roman" w:hAnsi="Times New Roman" w:eastAsia="宋体" w:cs="Times New Roman"/>
          <w:color w:val="auto"/>
          <w:szCs w:val="21"/>
          <w:shd w:val="clear" w:color="auto" w:fill="FFFFFF"/>
        </w:rPr>
        <w:t>禁食禁饮6h</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并停用</w:t>
      </w:r>
      <w:r>
        <w:rPr>
          <w:rFonts w:hint="eastAsia" w:ascii="Times New Roman" w:hAnsi="Times New Roman" w:eastAsia="宋体" w:cs="Times New Roman"/>
          <w:color w:val="auto"/>
          <w:szCs w:val="21"/>
          <w:shd w:val="clear" w:color="auto" w:fill="FFFFFF"/>
        </w:rPr>
        <w:t>后续</w:t>
      </w:r>
      <w:r>
        <w:rPr>
          <w:rFonts w:ascii="Times New Roman" w:hAnsi="Times New Roman" w:eastAsia="宋体" w:cs="Times New Roman"/>
          <w:color w:val="auto"/>
          <w:szCs w:val="21"/>
          <w:shd w:val="clear" w:color="auto" w:fill="FFFFFF"/>
        </w:rPr>
        <w:t>哌拉西林</w:t>
      </w:r>
      <w:r>
        <w:rPr>
          <w:rFonts w:hint="eastAsia" w:ascii="Times New Roman" w:hAnsi="Times New Roman" w:eastAsia="宋体" w:cs="Times New Roman"/>
          <w:color w:val="auto"/>
          <w:szCs w:val="21"/>
          <w:shd w:val="clear" w:color="auto" w:fill="FFFFFF"/>
        </w:rPr>
        <w:t>钠</w:t>
      </w:r>
      <w:r>
        <w:rPr>
          <w:rFonts w:ascii="Times New Roman" w:hAnsi="Times New Roman" w:eastAsia="宋体" w:cs="Times New Roman"/>
          <w:color w:val="auto"/>
          <w:szCs w:val="21"/>
          <w:shd w:val="clear" w:color="auto" w:fill="FFFFFF"/>
        </w:rPr>
        <w:t>他唑巴坦</w:t>
      </w:r>
      <w:r>
        <w:rPr>
          <w:rFonts w:hint="eastAsia" w:ascii="Times New Roman" w:hAnsi="Times New Roman" w:eastAsia="宋体" w:cs="Times New Roman"/>
          <w:color w:val="auto"/>
          <w:szCs w:val="21"/>
          <w:shd w:val="clear" w:color="auto" w:fill="FFFFFF"/>
        </w:rPr>
        <w:t>钠。</w:t>
      </w:r>
      <w:r>
        <w:rPr>
          <w:rFonts w:ascii="Times New Roman" w:hAnsi="Times New Roman" w:eastAsia="宋体" w:cs="Times New Roman"/>
          <w:color w:val="auto"/>
          <w:szCs w:val="21"/>
          <w:shd w:val="clear" w:color="auto" w:fill="FFFFFF"/>
        </w:rPr>
        <w:t>10</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10患者精神差，未</w:t>
      </w:r>
      <w:r>
        <w:rPr>
          <w:rFonts w:hint="eastAsia" w:ascii="Times New Roman" w:hAnsi="Times New Roman" w:eastAsia="宋体" w:cs="Times New Roman"/>
          <w:color w:val="auto"/>
          <w:szCs w:val="21"/>
          <w:shd w:val="clear" w:color="auto" w:fill="FFFFFF"/>
        </w:rPr>
        <w:t>再</w:t>
      </w:r>
      <w:r>
        <w:rPr>
          <w:rFonts w:ascii="Times New Roman" w:hAnsi="Times New Roman" w:eastAsia="宋体" w:cs="Times New Roman"/>
          <w:color w:val="auto"/>
          <w:szCs w:val="21"/>
          <w:shd w:val="clear" w:color="auto" w:fill="FFFFFF"/>
        </w:rPr>
        <w:t>诉</w:t>
      </w:r>
      <w:r>
        <w:rPr>
          <w:rFonts w:hint="eastAsia" w:ascii="Times New Roman" w:hAnsi="Times New Roman" w:eastAsia="宋体" w:cs="Times New Roman"/>
          <w:color w:val="auto"/>
          <w:szCs w:val="21"/>
          <w:shd w:val="clear" w:color="auto" w:fill="FFFFFF"/>
        </w:rPr>
        <w:t>恶心、</w:t>
      </w:r>
      <w:r>
        <w:rPr>
          <w:rFonts w:ascii="Times New Roman" w:hAnsi="Times New Roman" w:eastAsia="宋体" w:cs="Times New Roman"/>
          <w:color w:val="auto"/>
          <w:szCs w:val="21"/>
          <w:shd w:val="clear" w:color="auto" w:fill="FFFFFF"/>
        </w:rPr>
        <w:t>呕吐不适。</w:t>
      </w:r>
    </w:p>
    <w:p w14:paraId="470C27E3">
      <w:pPr>
        <w:widowControl/>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关联性评价</w:t>
      </w:r>
      <w:r>
        <w:rPr>
          <w:rFonts w:hint="eastAsia" w:ascii="Times New Roman" w:hAnsi="Times New Roman" w:eastAsia="宋体" w:cs="Times New Roman"/>
          <w:color w:val="auto"/>
          <w:szCs w:val="21"/>
          <w:shd w:val="clear" w:color="auto" w:fill="FFFFFF"/>
        </w:rPr>
        <w:t>：患者不良反应发生与药物使用具有时间相关性；哌拉西林他唑巴坦说明书上有相关不良反应的记载（为常见）；停药后经过对症治疗反应减轻（去激发阳性）；但未重新使用相关药品（再激发未知）；未合并使用其他药物，</w:t>
      </w:r>
      <w:r>
        <w:rPr>
          <w:rFonts w:hint="eastAsia" w:ascii="Times New Roman" w:hAnsi="Times New Roman"/>
          <w:color w:val="auto"/>
        </w:rPr>
        <w:t>不能用合并疾病解释；</w:t>
      </w:r>
      <w:r>
        <w:rPr>
          <w:rFonts w:hint="eastAsia" w:ascii="Times New Roman" w:hAnsi="Times New Roman" w:eastAsia="宋体" w:cs="Times New Roman"/>
          <w:color w:val="auto"/>
          <w:szCs w:val="21"/>
          <w:shd w:val="clear" w:color="auto" w:fill="FFFFFF"/>
        </w:rPr>
        <w:t>故</w:t>
      </w:r>
      <w:r>
        <w:rPr>
          <w:rFonts w:hint="eastAsia" w:ascii="Times New Roman" w:hAnsi="Times New Roman" w:eastAsia="宋体" w:cs="Times New Roman"/>
          <w:color w:val="auto"/>
          <w:szCs w:val="21"/>
        </w:rPr>
        <w:t>关联性评价</w:t>
      </w:r>
      <w:r>
        <w:rPr>
          <w:rFonts w:hint="eastAsia" w:ascii="Times New Roman" w:hAnsi="Times New Roman" w:eastAsia="宋体" w:cs="Times New Roman"/>
          <w:color w:val="auto"/>
          <w:szCs w:val="21"/>
          <w:shd w:val="clear" w:color="auto" w:fill="FFFFFF"/>
        </w:rPr>
        <w:t>为很可能。</w:t>
      </w:r>
    </w:p>
    <w:p w14:paraId="7775FCC7">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325" w:name="_Toc10452"/>
      <w:bookmarkStart w:id="326" w:name="_Toc19948"/>
      <w:bookmarkStart w:id="327" w:name="_Toc30978"/>
      <w:bookmarkStart w:id="328" w:name="_Toc27465"/>
      <w:bookmarkStart w:id="329" w:name="_Toc28129"/>
      <w:bookmarkStart w:id="330" w:name="_Toc6572"/>
      <w:bookmarkStart w:id="331" w:name="_Toc8615"/>
      <w:bookmarkStart w:id="332" w:name="_Toc19815"/>
      <w:bookmarkStart w:id="333" w:name="_Toc31184"/>
      <w:bookmarkStart w:id="334" w:name="_Toc9903"/>
      <w:r>
        <w:rPr>
          <w:rFonts w:hint="default" w:ascii="Times New Roman" w:hAnsi="Times New Roman" w:eastAsia="黑体" w:cs="黑体"/>
          <w:snapToGrid w:val="0"/>
          <w:color w:val="auto"/>
          <w:kern w:val="0"/>
          <w:sz w:val="24"/>
          <w:lang w:bidi="ar"/>
        </w:rPr>
        <w:t>6.7 药物性心律失常的判断评价标准</w:t>
      </w:r>
      <w:bookmarkEnd w:id="325"/>
      <w:bookmarkEnd w:id="326"/>
      <w:bookmarkEnd w:id="327"/>
      <w:bookmarkEnd w:id="328"/>
      <w:bookmarkEnd w:id="329"/>
      <w:bookmarkEnd w:id="330"/>
      <w:bookmarkEnd w:id="331"/>
      <w:bookmarkEnd w:id="332"/>
      <w:bookmarkEnd w:id="333"/>
      <w:bookmarkEnd w:id="334"/>
    </w:p>
    <w:p w14:paraId="27DAD020">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6.7.1 心律失常临床特点</w:t>
      </w:r>
    </w:p>
    <w:p w14:paraId="75EAD42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心律失常是指因心肌细胞电生理异常引起心肌收缩异常。主要临床表现为：心悸、心慌、气短、眩晕、心前区不适感、胸痛、憋闷、黑矇、晕厥，可见意识丧失、死亡。</w:t>
      </w:r>
    </w:p>
    <w:p w14:paraId="4A5F6AD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心电图检查诊断为各种心律失常，包括窦性心律失常、房性心律失常、交界性心律失常、室性心律失常以及传导阻滞等。</w:t>
      </w:r>
    </w:p>
    <w:p w14:paraId="082F0CAD">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6.7.2 心律失常的判断标准</w:t>
      </w:r>
    </w:p>
    <w:p w14:paraId="08E7E5BD">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应用药物后心电检查（心电图、动态心电监测等）出现心律失常，和/或伴有心律失常症状，即可判断为心律失常。</w:t>
      </w:r>
    </w:p>
    <w:p w14:paraId="2715C45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6.7.3 严重心律失常的判断标准</w:t>
      </w:r>
    </w:p>
    <w:p w14:paraId="09AED26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心律失常程度分级标准参考常见不良反应事件评价标准（CTCAE4.0），其中心律失常3级及3级以上为严重心律失常的标准。</w:t>
      </w:r>
    </w:p>
    <w:p w14:paraId="6AD6D08B">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（1）经简单的自救方法和/或药物不能完全控制，或需要仪器（如起搏器，或者除颤仪等）纠正的；</w:t>
      </w:r>
    </w:p>
    <w:p w14:paraId="619A9EF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（2）引起血流动力学障碍，需要紧急纠正治疗的；</w:t>
      </w:r>
    </w:p>
    <w:p w14:paraId="049410F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（3）危及生命需要紧急治疗的。</w:t>
      </w:r>
    </w:p>
    <w:p w14:paraId="21014221">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符合以上任何1项即可判断为严重心律失常。</w:t>
      </w:r>
    </w:p>
    <w:p w14:paraId="2896C866">
      <w:pPr>
        <w:topLinePunct/>
        <w:adjustRightInd w:val="0"/>
        <w:snapToGrid w:val="0"/>
        <w:spacing w:line="360" w:lineRule="auto"/>
        <w:rPr>
          <w:rFonts w:hint="default"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6.7.4</w:t>
      </w:r>
      <w:r>
        <w:rPr>
          <w:rFonts w:hint="eastAsia" w:ascii="Times New Roman" w:hAnsi="Times New Roman" w:eastAsia="宋体" w:cstheme="minorEastAsia"/>
          <w:snapToGrid w:val="0"/>
          <w:color w:val="auto"/>
          <w:kern w:val="0"/>
          <w:sz w:val="24"/>
          <w:lang w:val="en-US" w:eastAsia="zh-CN" w:bidi="ar"/>
        </w:rPr>
        <w:t>心律失常报告案例</w:t>
      </w:r>
    </w:p>
    <w:p w14:paraId="0D7284C6">
      <w:pPr>
        <w:widowControl/>
        <w:spacing w:line="360" w:lineRule="auto"/>
        <w:ind w:firstLine="420" w:firstLineChars="200"/>
        <w:jc w:val="left"/>
        <w:rPr>
          <w:rFonts w:ascii="Times New Roman" w:hAnsi="Times New Roman" w:eastAsia="宋体" w:cs="Times New Roman"/>
          <w:color w:val="auto"/>
          <w:szCs w:val="21"/>
        </w:rPr>
      </w:pPr>
      <w:r>
        <w:rPr>
          <w:rFonts w:ascii="Times New Roman" w:hAnsi="Times New Roman" w:eastAsia="宋体" w:cs="Times New Roman"/>
          <w:color w:val="auto"/>
          <w:szCs w:val="21"/>
        </w:rPr>
        <w:t>患者**，</w:t>
      </w:r>
      <w:r>
        <w:rPr>
          <w:rFonts w:hint="eastAsia" w:ascii="Times New Roman" w:hAnsi="Times New Roman" w:eastAsia="宋体" w:cs="Times New Roman"/>
          <w:color w:val="auto"/>
          <w:szCs w:val="21"/>
        </w:rPr>
        <w:t>男</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49</w:t>
      </w:r>
      <w:r>
        <w:rPr>
          <w:rFonts w:ascii="Times New Roman" w:hAnsi="Times New Roman" w:eastAsia="宋体" w:cs="Times New Roman"/>
          <w:color w:val="auto"/>
          <w:szCs w:val="21"/>
        </w:rPr>
        <w:t>岁，汉族，体重**kg，联系方式1*****，病历号/门诊号：***，原患疾病：</w:t>
      </w:r>
      <w:r>
        <w:rPr>
          <w:rFonts w:hint="eastAsia" w:ascii="Times New Roman" w:hAnsi="Times New Roman" w:eastAsia="宋体" w:cs="Times New Roman"/>
          <w:color w:val="auto"/>
          <w:szCs w:val="21"/>
        </w:rPr>
        <w:t>肺部感染；低血钾症（血钾3.3mmol/L）</w:t>
      </w:r>
      <w:r>
        <w:rPr>
          <w:rFonts w:ascii="Times New Roman" w:hAnsi="Times New Roman" w:eastAsia="宋体" w:cs="Times New Roman"/>
          <w:color w:val="auto"/>
          <w:szCs w:val="21"/>
        </w:rPr>
        <w:t>。既往药品不良反应/事件</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无，家族药品不良反应/事件</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不详。</w:t>
      </w:r>
    </w:p>
    <w:p w14:paraId="6B8A8CA1">
      <w:pPr>
        <w:widowControl/>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10月10日患者因肺部感染使用莫西沙星氯化钠注射液0.4g ivgtt qd抗感染、氨溴索注射液30mg ivgtt bid祛痰、氯化钾缓释片1.0g po tid补钾治疗。10月12日心电图：</w:t>
      </w:r>
      <w:r>
        <w:rPr>
          <w:rFonts w:ascii="Times New Roman" w:hAnsi="Times New Roman" w:eastAsia="宋体" w:cs="Times New Roman"/>
          <w:color w:val="auto"/>
          <w:szCs w:val="21"/>
        </w:rPr>
        <w:t>QT/QTc 4</w:t>
      </w:r>
      <w:r>
        <w:rPr>
          <w:rFonts w:hint="eastAsia" w:ascii="Times New Roman" w:hAnsi="Times New Roman" w:eastAsia="宋体" w:cs="Times New Roman"/>
          <w:color w:val="auto"/>
          <w:szCs w:val="21"/>
        </w:rPr>
        <w:t>62</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490</w:t>
      </w:r>
      <w:r>
        <w:rPr>
          <w:rFonts w:ascii="Times New Roman" w:hAnsi="Times New Roman" w:eastAsia="宋体" w:cs="Times New Roman"/>
          <w:color w:val="auto"/>
          <w:szCs w:val="21"/>
        </w:rPr>
        <w:t xml:space="preserve"> ms</w:t>
      </w:r>
      <w:r>
        <w:rPr>
          <w:rFonts w:hint="eastAsia" w:ascii="Times New Roman" w:hAnsi="Times New Roman" w:eastAsia="宋体" w:cs="Times New Roman"/>
          <w:color w:val="auto"/>
          <w:szCs w:val="21"/>
        </w:rPr>
        <w:t>，考虑患者QT间期延长，立即停用莫西沙星，调整为头孢曲松抗感染治疗。10月14日</w:t>
      </w:r>
      <w:r>
        <w:rPr>
          <w:rFonts w:ascii="Times New Roman" w:hAnsi="Times New Roman" w:eastAsia="宋体" w:cs="Times New Roman"/>
          <w:color w:val="auto"/>
          <w:szCs w:val="21"/>
        </w:rPr>
        <w:t>复查心电图</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QT/QTc 486/439 ms</w:t>
      </w:r>
      <w:r>
        <w:rPr>
          <w:rFonts w:hint="eastAsia" w:ascii="Times New Roman" w:hAnsi="Times New Roman" w:eastAsia="宋体" w:cs="Times New Roman"/>
          <w:color w:val="auto"/>
          <w:szCs w:val="21"/>
        </w:rPr>
        <w:t>，QTc恢复正常（男性QTc正常值470ms）。</w:t>
      </w:r>
    </w:p>
    <w:p w14:paraId="48DFFDEE">
      <w:pPr>
        <w:widowControl/>
        <w:spacing w:line="360" w:lineRule="auto"/>
        <w:ind w:firstLine="420" w:firstLineChars="200"/>
        <w:jc w:val="left"/>
        <w:rPr>
          <w:rFonts w:ascii="Times New Roman" w:hAnsi="Times New Roman" w:eastAsia="宋体" w:cs="Times New Roman"/>
          <w:color w:val="auto"/>
          <w:szCs w:val="21"/>
          <w:shd w:val="clear" w:color="auto" w:fill="FFFFFF"/>
        </w:rPr>
      </w:pPr>
      <w:r>
        <w:rPr>
          <w:rFonts w:hint="eastAsia" w:ascii="Times New Roman" w:hAnsi="Times New Roman" w:eastAsia="宋体" w:cs="Times New Roman"/>
          <w:color w:val="auto"/>
          <w:szCs w:val="21"/>
          <w:shd w:val="clear" w:color="auto" w:fill="FFFFFF"/>
        </w:rPr>
        <w:t>关联性判断：患者不良反应发生与药物使用具有时间相关性；莫西沙星说明书上有QT间期延长不良反应；停药后QTc恢复正常（去激发阳性）；但未重新使用莫西沙星（再激发未知）；</w:t>
      </w:r>
      <w:r>
        <w:rPr>
          <w:rFonts w:ascii="Times New Roman" w:hAnsi="Times New Roman" w:eastAsia="宋体" w:cs="Times New Roman"/>
          <w:color w:val="auto"/>
          <w:szCs w:val="21"/>
          <w:shd w:val="clear" w:color="auto" w:fill="FFFFFF"/>
        </w:rPr>
        <w:t>不能用并用药的作用、病情进展及其他治疗的影响来解释，故关联性评价为很可能。</w:t>
      </w:r>
    </w:p>
    <w:p w14:paraId="19676E62">
      <w:pPr>
        <w:topLinePunct/>
        <w:adjustRightInd w:val="0"/>
        <w:snapToGrid w:val="0"/>
        <w:spacing w:line="360" w:lineRule="auto"/>
        <w:outlineLvl w:val="1"/>
        <w:rPr>
          <w:rFonts w:ascii="Times New Roman" w:hAnsi="Times New Roman" w:eastAsia="黑体" w:cs="黑体"/>
          <w:snapToGrid w:val="0"/>
          <w:color w:val="auto"/>
          <w:kern w:val="0"/>
          <w:sz w:val="24"/>
          <w:lang w:bidi="ar"/>
        </w:rPr>
      </w:pPr>
      <w:bookmarkStart w:id="335" w:name="_Toc29921"/>
      <w:bookmarkStart w:id="336" w:name="_Toc3232"/>
      <w:bookmarkStart w:id="337" w:name="_Toc8506"/>
      <w:bookmarkStart w:id="338" w:name="_Toc122"/>
      <w:bookmarkStart w:id="339" w:name="_Toc5588"/>
      <w:bookmarkStart w:id="340" w:name="_Toc18605"/>
      <w:bookmarkStart w:id="341" w:name="_Toc16590"/>
      <w:bookmarkStart w:id="342" w:name="_Toc22750"/>
      <w:bookmarkStart w:id="343" w:name="_Toc17102"/>
      <w:bookmarkStart w:id="344" w:name="_Toc14541"/>
      <w:r>
        <w:rPr>
          <w:rFonts w:hint="default" w:ascii="Times New Roman" w:hAnsi="Times New Roman" w:eastAsia="黑体" w:cs="黑体"/>
          <w:snapToGrid w:val="0"/>
          <w:color w:val="auto"/>
          <w:kern w:val="0"/>
          <w:sz w:val="24"/>
          <w:lang w:bidi="ar"/>
        </w:rPr>
        <w:t>6.8 血细胞减少判断评价标准</w:t>
      </w:r>
      <w:bookmarkEnd w:id="335"/>
      <w:bookmarkEnd w:id="336"/>
      <w:bookmarkEnd w:id="337"/>
      <w:bookmarkEnd w:id="338"/>
      <w:bookmarkEnd w:id="339"/>
      <w:bookmarkEnd w:id="340"/>
      <w:bookmarkEnd w:id="341"/>
      <w:bookmarkEnd w:id="342"/>
      <w:bookmarkEnd w:id="343"/>
      <w:bookmarkEnd w:id="344"/>
    </w:p>
    <w:p w14:paraId="44963D21">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6.8.1血细胞减少的临床特点</w:t>
      </w:r>
    </w:p>
    <w:p w14:paraId="63A0A28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（1）贫血的临床特点：头晕、乏力、心慌、气短、面色苍白等。溶血性贫血时可出现皮肤、粘膜、巩膜黄染，尿色加深。</w:t>
      </w:r>
    </w:p>
    <w:p w14:paraId="7026D53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（2）白细胞减少的临床特点：轻度白细胞减少临床可无特异性表现；中、重度白细胞减少者常出现头晕、乏力，易发生感染；粒细胞缺乏时可合并严重感染。</w:t>
      </w:r>
    </w:p>
    <w:p w14:paraId="47FDC2CA">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（3）血小板减少的临床特点：轻度血小板减少易出现损伤性出血；重度血小板减少可伴有自发性皮肤粘膜出血，甚至内脏出血。</w:t>
      </w:r>
    </w:p>
    <w:p w14:paraId="33204BF0">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6.8.2血细胞减少分级标准（表5）</w:t>
      </w:r>
    </w:p>
    <w:p w14:paraId="2888FCE2">
      <w:pPr>
        <w:topLinePunct/>
        <w:adjustRightInd w:val="0"/>
        <w:snapToGrid w:val="0"/>
        <w:ind w:firstLine="420" w:firstLineChars="200"/>
        <w:jc w:val="center"/>
        <w:rPr>
          <w:rFonts w:ascii="Times New Roman" w:hAnsi="Times New Roman" w:eastAsia="宋体" w:cstheme="minorEastAsia"/>
          <w:snapToGrid w:val="0"/>
          <w:color w:val="auto"/>
          <w:kern w:val="0"/>
          <w:szCs w:val="21"/>
          <w:lang w:bidi="ar"/>
        </w:rPr>
      </w:pPr>
      <w:r>
        <w:rPr>
          <w:rFonts w:hint="eastAsia" w:ascii="Times New Roman" w:hAnsi="Times New Roman" w:eastAsia="宋体" w:cstheme="minorEastAsia"/>
          <w:snapToGrid w:val="0"/>
          <w:color w:val="auto"/>
          <w:kern w:val="0"/>
          <w:szCs w:val="21"/>
          <w:lang w:bidi="ar"/>
        </w:rPr>
        <w:t>表5血细胞减少分级标准</w:t>
      </w:r>
    </w:p>
    <w:tbl>
      <w:tblPr>
        <w:tblStyle w:val="12"/>
        <w:tblW w:w="4838" w:type="pct"/>
        <w:tblInd w:w="94" w:type="dxa"/>
        <w:tblLayout w:type="autofit"/>
        <w:tblCellMar>
          <w:top w:w="0" w:type="dxa"/>
          <w:left w:w="0" w:type="dxa"/>
          <w:bottom w:w="0" w:type="dxa"/>
          <w:right w:w="0" w:type="dxa"/>
        </w:tblCellMar>
      </w:tblPr>
      <w:tblGrid>
        <w:gridCol w:w="652"/>
        <w:gridCol w:w="1756"/>
        <w:gridCol w:w="1850"/>
        <w:gridCol w:w="2089"/>
        <w:gridCol w:w="1899"/>
      </w:tblGrid>
      <w:tr w14:paraId="5FE46C4A">
        <w:tblPrEx>
          <w:tblCellMar>
            <w:top w:w="0" w:type="dxa"/>
            <w:left w:w="0" w:type="dxa"/>
            <w:bottom w:w="0" w:type="dxa"/>
            <w:right w:w="0" w:type="dxa"/>
          </w:tblCellMar>
        </w:tblPrEx>
        <w:tc>
          <w:tcPr>
            <w:tcW w:w="3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779C5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级别</w:t>
            </w:r>
          </w:p>
        </w:tc>
        <w:tc>
          <w:tcPr>
            <w:tcW w:w="1064"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5134A6">
            <w:pPr>
              <w:topLinePunct/>
              <w:adjustRightInd w:val="0"/>
              <w:snapToGrid w:val="0"/>
              <w:jc w:val="center"/>
              <w:rPr>
                <w:rFonts w:hint="eastAsia"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白细胞数</w:t>
            </w: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WBC</w:t>
            </w:r>
            <w:r>
              <w:rPr>
                <w:rFonts w:hint="eastAsia" w:ascii="Times New Roman" w:hAnsi="Times New Roman" w:eastAsia="宋体" w:cstheme="minorEastAsia"/>
                <w:snapToGrid w:val="0"/>
                <w:color w:val="auto"/>
                <w:kern w:val="0"/>
                <w:sz w:val="18"/>
                <w:szCs w:val="18"/>
                <w:lang w:eastAsia="zh-CN" w:bidi="ar"/>
              </w:rPr>
              <w:t>）</w:t>
            </w:r>
          </w:p>
          <w:p w14:paraId="278ACF6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×10</w:t>
            </w:r>
            <w:r>
              <w:rPr>
                <w:rFonts w:hint="eastAsia" w:ascii="Times New Roman" w:hAnsi="Times New Roman" w:eastAsia="宋体" w:cstheme="minorEastAsia"/>
                <w:snapToGrid w:val="0"/>
                <w:color w:val="auto"/>
                <w:kern w:val="0"/>
                <w:sz w:val="18"/>
                <w:szCs w:val="18"/>
                <w:vertAlign w:val="superscript"/>
                <w:lang w:bidi="ar"/>
              </w:rPr>
              <w:t>9</w:t>
            </w:r>
            <w:r>
              <w:rPr>
                <w:rFonts w:hint="eastAsia" w:ascii="Times New Roman" w:hAnsi="Times New Roman" w:eastAsia="宋体" w:cstheme="minorEastAsia"/>
                <w:snapToGrid w:val="0"/>
                <w:color w:val="auto"/>
                <w:kern w:val="0"/>
                <w:sz w:val="18"/>
                <w:szCs w:val="18"/>
                <w:lang w:bidi="ar"/>
              </w:rPr>
              <w:t>/L</w:t>
            </w:r>
            <w:r>
              <w:rPr>
                <w:rFonts w:hint="eastAsia" w:ascii="Times New Roman" w:hAnsi="Times New Roman" w:eastAsia="宋体" w:cstheme="minorEastAsia"/>
                <w:snapToGrid w:val="0"/>
                <w:color w:val="auto"/>
                <w:kern w:val="0"/>
                <w:sz w:val="18"/>
                <w:szCs w:val="18"/>
                <w:lang w:eastAsia="zh-CN" w:bidi="ar"/>
              </w:rPr>
              <w:t>)</w:t>
            </w:r>
          </w:p>
        </w:tc>
        <w:tc>
          <w:tcPr>
            <w:tcW w:w="112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9F185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中性粒细胞计数</w:t>
            </w: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N</w:t>
            </w: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（×10</w:t>
            </w:r>
            <w:r>
              <w:rPr>
                <w:rFonts w:hint="eastAsia" w:ascii="Times New Roman" w:hAnsi="Times New Roman" w:eastAsia="宋体" w:cstheme="minorEastAsia"/>
                <w:snapToGrid w:val="0"/>
                <w:color w:val="auto"/>
                <w:kern w:val="0"/>
                <w:sz w:val="18"/>
                <w:szCs w:val="18"/>
                <w:vertAlign w:val="superscript"/>
                <w:lang w:bidi="ar"/>
              </w:rPr>
              <w:t>9</w:t>
            </w:r>
            <w:r>
              <w:rPr>
                <w:rFonts w:hint="eastAsia" w:ascii="Times New Roman" w:hAnsi="Times New Roman" w:eastAsia="宋体" w:cstheme="minorEastAsia"/>
                <w:snapToGrid w:val="0"/>
                <w:color w:val="auto"/>
                <w:kern w:val="0"/>
                <w:sz w:val="18"/>
                <w:szCs w:val="18"/>
                <w:lang w:bidi="ar"/>
              </w:rPr>
              <w:t>/L）</w:t>
            </w:r>
          </w:p>
        </w:tc>
        <w:tc>
          <w:tcPr>
            <w:tcW w:w="126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3CB232">
            <w:pPr>
              <w:topLinePunct/>
              <w:adjustRightInd w:val="0"/>
              <w:snapToGrid w:val="0"/>
              <w:jc w:val="center"/>
              <w:rPr>
                <w:rFonts w:hint="eastAsia"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血小板计数</w:t>
            </w: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PLT</w:t>
            </w:r>
            <w:r>
              <w:rPr>
                <w:rFonts w:hint="eastAsia" w:ascii="Times New Roman" w:hAnsi="Times New Roman" w:eastAsia="宋体" w:cstheme="minorEastAsia"/>
                <w:snapToGrid w:val="0"/>
                <w:color w:val="auto"/>
                <w:kern w:val="0"/>
                <w:sz w:val="18"/>
                <w:szCs w:val="18"/>
                <w:lang w:eastAsia="zh-CN" w:bidi="ar"/>
              </w:rPr>
              <w:t>）</w:t>
            </w:r>
          </w:p>
          <w:p w14:paraId="43ED8D2F">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（×10</w:t>
            </w:r>
            <w:r>
              <w:rPr>
                <w:rFonts w:hint="eastAsia" w:ascii="Times New Roman" w:hAnsi="Times New Roman" w:eastAsia="宋体" w:cstheme="minorEastAsia"/>
                <w:snapToGrid w:val="0"/>
                <w:color w:val="auto"/>
                <w:kern w:val="0"/>
                <w:sz w:val="18"/>
                <w:szCs w:val="18"/>
                <w:vertAlign w:val="superscript"/>
                <w:lang w:bidi="ar"/>
              </w:rPr>
              <w:t>9</w:t>
            </w:r>
            <w:r>
              <w:rPr>
                <w:rFonts w:hint="eastAsia" w:ascii="Times New Roman" w:hAnsi="Times New Roman" w:eastAsia="宋体" w:cstheme="minorEastAsia"/>
                <w:snapToGrid w:val="0"/>
                <w:color w:val="auto"/>
                <w:kern w:val="0"/>
                <w:sz w:val="18"/>
                <w:szCs w:val="18"/>
                <w:lang w:bidi="ar"/>
              </w:rPr>
              <w:t>/L）</w:t>
            </w:r>
          </w:p>
        </w:tc>
        <w:tc>
          <w:tcPr>
            <w:tcW w:w="115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0A5E95">
            <w:pPr>
              <w:topLinePunct/>
              <w:adjustRightInd w:val="0"/>
              <w:snapToGrid w:val="0"/>
              <w:jc w:val="center"/>
              <w:rPr>
                <w:rFonts w:hint="eastAsia"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血红蛋白</w:t>
            </w:r>
            <w:r>
              <w:rPr>
                <w:rFonts w:hint="eastAsia" w:ascii="Times New Roman" w:hAnsi="Times New Roman" w:eastAsia="宋体" w:cstheme="minorEastAsia"/>
                <w:snapToGrid w:val="0"/>
                <w:color w:val="auto"/>
                <w:kern w:val="0"/>
                <w:sz w:val="18"/>
                <w:szCs w:val="18"/>
                <w:lang w:eastAsia="zh-CN" w:bidi="ar"/>
              </w:rPr>
              <w:t>（</w:t>
            </w:r>
            <w:r>
              <w:rPr>
                <w:rFonts w:hint="eastAsia" w:ascii="Times New Roman" w:hAnsi="Times New Roman" w:eastAsia="宋体" w:cstheme="minorEastAsia"/>
                <w:snapToGrid w:val="0"/>
                <w:color w:val="auto"/>
                <w:kern w:val="0"/>
                <w:sz w:val="18"/>
                <w:szCs w:val="18"/>
                <w:lang w:bidi="ar"/>
              </w:rPr>
              <w:t>Hb</w:t>
            </w:r>
            <w:r>
              <w:rPr>
                <w:rFonts w:hint="eastAsia" w:ascii="Times New Roman" w:hAnsi="Times New Roman" w:eastAsia="宋体" w:cstheme="minorEastAsia"/>
                <w:snapToGrid w:val="0"/>
                <w:color w:val="auto"/>
                <w:kern w:val="0"/>
                <w:sz w:val="18"/>
                <w:szCs w:val="18"/>
                <w:lang w:eastAsia="zh-CN" w:bidi="ar"/>
              </w:rPr>
              <w:t>）</w:t>
            </w:r>
          </w:p>
          <w:p w14:paraId="15F57BE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（g/L）</w:t>
            </w:r>
          </w:p>
        </w:tc>
      </w:tr>
      <w:tr w14:paraId="1AB5ED1D">
        <w:tblPrEx>
          <w:tblCellMar>
            <w:top w:w="0" w:type="dxa"/>
            <w:left w:w="0" w:type="dxa"/>
            <w:bottom w:w="0" w:type="dxa"/>
            <w:right w:w="0" w:type="dxa"/>
          </w:tblCellMar>
        </w:tblPrEx>
        <w:tc>
          <w:tcPr>
            <w:tcW w:w="3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800684">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1级</w:t>
            </w:r>
          </w:p>
        </w:tc>
        <w:tc>
          <w:tcPr>
            <w:tcW w:w="1064"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06E739">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3.9～3.0</w:t>
            </w:r>
          </w:p>
        </w:tc>
        <w:tc>
          <w:tcPr>
            <w:tcW w:w="112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7044C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1.9～1.5</w:t>
            </w:r>
          </w:p>
        </w:tc>
        <w:tc>
          <w:tcPr>
            <w:tcW w:w="126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83F598">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99～75</w:t>
            </w:r>
          </w:p>
        </w:tc>
        <w:tc>
          <w:tcPr>
            <w:tcW w:w="115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92B265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正常值～100</w:t>
            </w:r>
          </w:p>
        </w:tc>
      </w:tr>
      <w:tr w14:paraId="15032F65">
        <w:tblPrEx>
          <w:tblCellMar>
            <w:top w:w="0" w:type="dxa"/>
            <w:left w:w="0" w:type="dxa"/>
            <w:bottom w:w="0" w:type="dxa"/>
            <w:right w:w="0" w:type="dxa"/>
          </w:tblCellMar>
        </w:tblPrEx>
        <w:tc>
          <w:tcPr>
            <w:tcW w:w="3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49A0B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2级</w:t>
            </w:r>
          </w:p>
        </w:tc>
        <w:tc>
          <w:tcPr>
            <w:tcW w:w="1064"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24D876">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2.9～2.0</w:t>
            </w:r>
          </w:p>
        </w:tc>
        <w:tc>
          <w:tcPr>
            <w:tcW w:w="112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3CAA5F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1.4～1.0</w:t>
            </w:r>
          </w:p>
        </w:tc>
        <w:tc>
          <w:tcPr>
            <w:tcW w:w="126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E9023F">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74～50</w:t>
            </w:r>
          </w:p>
        </w:tc>
        <w:tc>
          <w:tcPr>
            <w:tcW w:w="115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F62D1C">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99～80</w:t>
            </w:r>
          </w:p>
        </w:tc>
      </w:tr>
      <w:tr w14:paraId="3AE7243B">
        <w:tblPrEx>
          <w:tblCellMar>
            <w:top w:w="0" w:type="dxa"/>
            <w:left w:w="0" w:type="dxa"/>
            <w:bottom w:w="0" w:type="dxa"/>
            <w:right w:w="0" w:type="dxa"/>
          </w:tblCellMar>
        </w:tblPrEx>
        <w:tc>
          <w:tcPr>
            <w:tcW w:w="3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5A894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3级</w:t>
            </w:r>
          </w:p>
        </w:tc>
        <w:tc>
          <w:tcPr>
            <w:tcW w:w="1064"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3B4A43">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1.9～1.0</w:t>
            </w:r>
          </w:p>
        </w:tc>
        <w:tc>
          <w:tcPr>
            <w:tcW w:w="112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13582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0.9～0.5</w:t>
            </w:r>
          </w:p>
        </w:tc>
        <w:tc>
          <w:tcPr>
            <w:tcW w:w="126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4098E1">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49～25</w:t>
            </w:r>
          </w:p>
        </w:tc>
        <w:tc>
          <w:tcPr>
            <w:tcW w:w="115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9D52C02">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79～65，需要输血</w:t>
            </w:r>
          </w:p>
        </w:tc>
      </w:tr>
      <w:tr w14:paraId="4CF13D5F">
        <w:tblPrEx>
          <w:tblCellMar>
            <w:top w:w="0" w:type="dxa"/>
            <w:left w:w="0" w:type="dxa"/>
            <w:bottom w:w="0" w:type="dxa"/>
            <w:right w:w="0" w:type="dxa"/>
          </w:tblCellMar>
        </w:tblPrEx>
        <w:tc>
          <w:tcPr>
            <w:tcW w:w="3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B0398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4级</w:t>
            </w:r>
          </w:p>
        </w:tc>
        <w:tc>
          <w:tcPr>
            <w:tcW w:w="1064"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BB201D">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＜1.0</w:t>
            </w:r>
          </w:p>
        </w:tc>
        <w:tc>
          <w:tcPr>
            <w:tcW w:w="112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ED96E5">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＜0.5</w:t>
            </w:r>
          </w:p>
        </w:tc>
        <w:tc>
          <w:tcPr>
            <w:tcW w:w="126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F07B5AB">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＜25</w:t>
            </w:r>
          </w:p>
        </w:tc>
        <w:tc>
          <w:tcPr>
            <w:tcW w:w="115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A207B3">
            <w:pPr>
              <w:topLinePunct/>
              <w:adjustRightInd w:val="0"/>
              <w:snapToGrid w:val="0"/>
              <w:jc w:val="center"/>
              <w:rPr>
                <w:rFonts w:ascii="Times New Roman" w:hAnsi="Times New Roman" w:eastAsia="宋体" w:cstheme="minorEastAsia"/>
                <w:snapToGrid w:val="0"/>
                <w:color w:val="auto"/>
                <w:kern w:val="0"/>
                <w:sz w:val="18"/>
                <w:szCs w:val="18"/>
                <w:lang w:bidi="ar"/>
              </w:rPr>
            </w:pPr>
            <w:r>
              <w:rPr>
                <w:rFonts w:hint="eastAsia" w:ascii="Times New Roman" w:hAnsi="Times New Roman" w:eastAsia="宋体" w:cstheme="minorEastAsia"/>
                <w:snapToGrid w:val="0"/>
                <w:color w:val="auto"/>
                <w:kern w:val="0"/>
                <w:sz w:val="18"/>
                <w:szCs w:val="18"/>
                <w:lang w:bidi="ar"/>
              </w:rPr>
              <w:t>危及生命，血液需要紧急治疗</w:t>
            </w:r>
          </w:p>
        </w:tc>
      </w:tr>
    </w:tbl>
    <w:p w14:paraId="2BA5BA89">
      <w:pPr>
        <w:topLinePunct/>
        <w:autoSpaceDE w:val="0"/>
        <w:autoSpaceDN w:val="0"/>
        <w:adjustRightInd w:val="0"/>
        <w:snapToGrid w:val="0"/>
        <w:spacing w:line="360" w:lineRule="auto"/>
        <w:ind w:firstLine="360" w:firstLineChars="200"/>
        <w:rPr>
          <w:rFonts w:ascii="Times New Roman" w:hAnsi="Times New Roman" w:eastAsia="仿宋" w:cs="仿宋"/>
          <w:snapToGrid w:val="0"/>
          <w:color w:val="auto"/>
          <w:kern w:val="0"/>
          <w:sz w:val="18"/>
          <w:szCs w:val="18"/>
          <w:lang w:bidi="ar"/>
        </w:rPr>
      </w:pPr>
      <w:r>
        <w:rPr>
          <w:rFonts w:hint="eastAsia" w:ascii="Times New Roman" w:hAnsi="Times New Roman" w:eastAsia="仿宋" w:cs="仿宋"/>
          <w:snapToGrid w:val="0"/>
          <w:color w:val="auto"/>
          <w:kern w:val="0"/>
          <w:sz w:val="18"/>
          <w:szCs w:val="18"/>
          <w:lang w:bidi="ar"/>
        </w:rPr>
        <w:t>注：血红蛋白正常值：成年男性≥120g/L，非妊娠成年女性≥110g/L，妊娠女性≥100g/L</w:t>
      </w:r>
    </w:p>
    <w:p w14:paraId="0590547F">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6.8.3 严重血细胞减少标准</w:t>
      </w:r>
    </w:p>
    <w:p w14:paraId="72D24AD8">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（1）贫血：连续2次检测Hb值符合血红蛋白浓度＜80g/L可判断为血细胞减少严重药品不良反应。</w:t>
      </w:r>
    </w:p>
    <w:p w14:paraId="4AD8B9B4">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（2）白细胞减少：连续2次检测WBC＜2.0×10</w:t>
      </w:r>
      <w:r>
        <w:rPr>
          <w:rFonts w:hint="eastAsia" w:ascii="Times New Roman" w:hAnsi="Times New Roman" w:eastAsia="宋体" w:cstheme="minorEastAsia"/>
          <w:snapToGrid w:val="0"/>
          <w:color w:val="auto"/>
          <w:kern w:val="0"/>
          <w:sz w:val="24"/>
          <w:vertAlign w:val="superscript"/>
          <w:lang w:bidi="ar"/>
        </w:rPr>
        <w:t>9</w:t>
      </w:r>
      <w:r>
        <w:rPr>
          <w:rFonts w:hint="eastAsia" w:ascii="Times New Roman" w:hAnsi="Times New Roman" w:eastAsia="宋体" w:cstheme="minorEastAsia"/>
          <w:snapToGrid w:val="0"/>
          <w:color w:val="auto"/>
          <w:kern w:val="0"/>
          <w:sz w:val="24"/>
          <w:lang w:bidi="ar"/>
        </w:rPr>
        <w:t>/L。</w:t>
      </w:r>
    </w:p>
    <w:p w14:paraId="1BB2C1EE">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（3）粒细胞减少：连续2次检测N＜1.0×10</w:t>
      </w:r>
      <w:r>
        <w:rPr>
          <w:rFonts w:hint="eastAsia" w:ascii="Times New Roman" w:hAnsi="Times New Roman" w:eastAsia="宋体" w:cstheme="minorEastAsia"/>
          <w:snapToGrid w:val="0"/>
          <w:color w:val="auto"/>
          <w:kern w:val="0"/>
          <w:sz w:val="24"/>
          <w:vertAlign w:val="superscript"/>
          <w:lang w:bidi="ar"/>
        </w:rPr>
        <w:t>9</w:t>
      </w:r>
      <w:r>
        <w:rPr>
          <w:rFonts w:hint="eastAsia" w:ascii="Times New Roman" w:hAnsi="Times New Roman" w:eastAsia="宋体" w:cstheme="minorEastAsia"/>
          <w:snapToGrid w:val="0"/>
          <w:color w:val="auto"/>
          <w:kern w:val="0"/>
          <w:sz w:val="24"/>
          <w:lang w:bidi="ar"/>
        </w:rPr>
        <w:t>/L。</w:t>
      </w:r>
    </w:p>
    <w:p w14:paraId="53A03BB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（4）血小板减少：连续2次检测PLT＜50×10</w:t>
      </w:r>
      <w:r>
        <w:rPr>
          <w:rFonts w:hint="eastAsia" w:ascii="Times New Roman" w:hAnsi="Times New Roman" w:eastAsia="宋体" w:cstheme="minorEastAsia"/>
          <w:snapToGrid w:val="0"/>
          <w:color w:val="auto"/>
          <w:kern w:val="0"/>
          <w:sz w:val="24"/>
          <w:vertAlign w:val="superscript"/>
          <w:lang w:bidi="ar"/>
        </w:rPr>
        <w:t>9</w:t>
      </w:r>
      <w:r>
        <w:rPr>
          <w:rFonts w:hint="eastAsia" w:ascii="Times New Roman" w:hAnsi="Times New Roman" w:eastAsia="宋体" w:cstheme="minorEastAsia"/>
          <w:snapToGrid w:val="0"/>
          <w:color w:val="auto"/>
          <w:kern w:val="0"/>
          <w:sz w:val="24"/>
          <w:lang w:bidi="ar"/>
        </w:rPr>
        <w:t>/L。</w:t>
      </w:r>
    </w:p>
    <w:p w14:paraId="1F1F6B9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符合以上</w:t>
      </w:r>
      <w:r>
        <w:rPr>
          <w:rFonts w:hint="eastAsia" w:ascii="Times New Roman" w:hAnsi="Times New Roman" w:eastAsia="宋体" w:cstheme="minorEastAsia"/>
          <w:snapToGrid w:val="0"/>
          <w:color w:val="auto"/>
          <w:kern w:val="0"/>
          <w:sz w:val="24"/>
          <w:lang w:val="en-US" w:eastAsia="zh-CN" w:bidi="ar"/>
        </w:rPr>
        <w:t>任</w:t>
      </w:r>
      <w:r>
        <w:rPr>
          <w:rFonts w:hint="eastAsia" w:ascii="Times New Roman" w:hAnsi="Times New Roman" w:eastAsia="宋体" w:cstheme="minorEastAsia"/>
          <w:snapToGrid w:val="0"/>
          <w:color w:val="auto"/>
          <w:kern w:val="0"/>
          <w:sz w:val="24"/>
          <w:lang w:bidi="ar"/>
        </w:rPr>
        <w:t>1项即可判断为具体名称的严重血细胞减少，符合以上任何2项及以上的可判断为严重血细胞减少。</w:t>
      </w:r>
    </w:p>
    <w:p w14:paraId="5B9A5F61">
      <w:pPr>
        <w:spacing w:line="360" w:lineRule="auto"/>
        <w:rPr>
          <w:rFonts w:ascii="Times New Roman" w:hAnsi="Times New Roman"/>
          <w:color w:val="auto"/>
        </w:rPr>
      </w:pPr>
      <w:r>
        <w:rPr>
          <w:rFonts w:hint="eastAsia" w:ascii="Times New Roman" w:hAnsi="Times New Roman"/>
          <w:color w:val="auto"/>
          <w:sz w:val="24"/>
        </w:rPr>
        <w:t>6.8.4</w:t>
      </w:r>
      <w:r>
        <w:rPr>
          <w:rFonts w:hint="eastAsia" w:ascii="Times New Roman" w:hAnsi="Times New Roman" w:eastAsia="宋体" w:cstheme="minorEastAsia"/>
          <w:snapToGrid w:val="0"/>
          <w:color w:val="auto"/>
          <w:kern w:val="0"/>
          <w:sz w:val="24"/>
          <w:lang w:bidi="ar"/>
        </w:rPr>
        <w:t>血细胞减少报告案例</w:t>
      </w:r>
    </w:p>
    <w:p w14:paraId="60DED54A">
      <w:pPr>
        <w:spacing w:line="360" w:lineRule="auto"/>
        <w:ind w:firstLine="422" w:firstLineChars="200"/>
        <w:rPr>
          <w:rFonts w:ascii="Times New Roman" w:hAnsi="Times New Roman"/>
          <w:b/>
          <w:bCs/>
          <w:color w:val="auto"/>
        </w:rPr>
      </w:pPr>
      <w:r>
        <w:rPr>
          <w:rFonts w:hint="eastAsia" w:ascii="Times New Roman" w:hAnsi="Times New Roman"/>
          <w:b/>
          <w:bCs/>
          <w:color w:val="auto"/>
        </w:rPr>
        <w:t>案例一：</w:t>
      </w:r>
    </w:p>
    <w:p w14:paraId="7A00EE5B">
      <w:pPr>
        <w:spacing w:line="360" w:lineRule="auto"/>
        <w:ind w:firstLine="420" w:firstLineChars="200"/>
        <w:rPr>
          <w:rFonts w:ascii="Times New Roman" w:hAnsi="Times New Roman"/>
          <w:color w:val="auto"/>
        </w:rPr>
      </w:pPr>
      <w:r>
        <w:rPr>
          <w:rFonts w:hint="eastAsia" w:ascii="Times New Roman" w:hAnsi="Times New Roman"/>
          <w:color w:val="auto"/>
        </w:rPr>
        <w:t>秦**，男，72岁，汉族，体重75kg，联系方式134********，病历号/门诊号：9009*****，原患疾病：胸骨骨折、骨髓炎。既往药品不良反应/事件不详，家族药品不良反应/事件不详。</w:t>
      </w:r>
    </w:p>
    <w:p w14:paraId="2E6EAE3F">
      <w:pPr>
        <w:spacing w:line="360" w:lineRule="auto"/>
        <w:ind w:firstLine="420" w:firstLineChars="200"/>
        <w:rPr>
          <w:rFonts w:ascii="Times New Roman" w:hAnsi="Times New Roman"/>
          <w:color w:val="auto"/>
        </w:rPr>
      </w:pPr>
      <w:r>
        <w:rPr>
          <w:rFonts w:hint="eastAsia" w:ascii="Times New Roman" w:hAnsi="Times New Roman"/>
          <w:color w:val="auto"/>
        </w:rPr>
        <w:t>9月5日</w:t>
      </w:r>
      <w:r>
        <w:rPr>
          <w:rFonts w:ascii="Times New Roman" w:hAnsi="Times New Roman"/>
          <w:color w:val="auto"/>
        </w:rPr>
        <w:t>患者因</w:t>
      </w:r>
      <w:r>
        <w:rPr>
          <w:rFonts w:hint="eastAsia" w:ascii="Times New Roman" w:hAnsi="Times New Roman"/>
          <w:color w:val="auto"/>
        </w:rPr>
        <w:t>骨髓炎（胸骨骨折术后感染）使用</w:t>
      </w:r>
      <w:r>
        <w:rPr>
          <w:rFonts w:ascii="Times New Roman" w:hAnsi="Times New Roman"/>
          <w:color w:val="auto"/>
        </w:rPr>
        <w:t>利奈唑胺</w:t>
      </w:r>
      <w:r>
        <w:rPr>
          <w:rFonts w:hint="eastAsia" w:ascii="Times New Roman" w:hAnsi="Times New Roman"/>
          <w:color w:val="auto"/>
        </w:rPr>
        <w:t>0.6g ivgtt q12h</w:t>
      </w:r>
      <w:r>
        <w:rPr>
          <w:rFonts w:ascii="Times New Roman" w:hAnsi="Times New Roman"/>
          <w:color w:val="auto"/>
        </w:rPr>
        <w:t>抗感染</w:t>
      </w:r>
      <w:r>
        <w:rPr>
          <w:rFonts w:hint="eastAsia" w:ascii="Times New Roman" w:hAnsi="Times New Roman"/>
          <w:color w:val="auto"/>
        </w:rPr>
        <w:t>治疗。用药前（</w:t>
      </w:r>
      <w:r>
        <w:rPr>
          <w:rFonts w:ascii="Times New Roman" w:hAnsi="Times New Roman"/>
          <w:color w:val="auto"/>
        </w:rPr>
        <w:t>9月4日</w:t>
      </w:r>
      <w:r>
        <w:rPr>
          <w:rFonts w:hint="eastAsia" w:ascii="Times New Roman" w:hAnsi="Times New Roman"/>
          <w:color w:val="auto"/>
        </w:rPr>
        <w:t>）</w:t>
      </w:r>
      <w:r>
        <w:rPr>
          <w:rFonts w:ascii="Times New Roman" w:hAnsi="Times New Roman"/>
          <w:color w:val="auto"/>
        </w:rPr>
        <w:t>血小板计数244</w:t>
      </w:r>
      <w:r>
        <w:rPr>
          <w:rFonts w:hint="eastAsia" w:ascii="Times New Roman" w:hAnsi="Times New Roman"/>
          <w:color w:val="auto"/>
        </w:rPr>
        <w:t>×</w:t>
      </w:r>
      <w:r>
        <w:rPr>
          <w:rFonts w:ascii="Times New Roman" w:hAnsi="Times New Roman"/>
          <w:color w:val="auto"/>
        </w:rPr>
        <w:t>10</w:t>
      </w:r>
      <w:r>
        <w:rPr>
          <w:rFonts w:ascii="Times New Roman" w:hAnsi="Times New Roman"/>
          <w:color w:val="auto"/>
          <w:vertAlign w:val="superscript"/>
        </w:rPr>
        <w:t>9</w:t>
      </w:r>
      <w:r>
        <w:rPr>
          <w:rFonts w:ascii="Times New Roman" w:hAnsi="Times New Roman"/>
          <w:color w:val="auto"/>
        </w:rPr>
        <w:t>/L</w:t>
      </w:r>
      <w:r>
        <w:rPr>
          <w:rFonts w:hint="eastAsia" w:ascii="Times New Roman" w:hAnsi="Times New Roman"/>
          <w:color w:val="auto"/>
        </w:rPr>
        <w:t>。用药后（</w:t>
      </w:r>
      <w:r>
        <w:rPr>
          <w:rFonts w:ascii="Times New Roman" w:hAnsi="Times New Roman"/>
          <w:color w:val="auto"/>
        </w:rPr>
        <w:t>9月1</w:t>
      </w:r>
      <w:r>
        <w:rPr>
          <w:rFonts w:hint="eastAsia" w:ascii="Times New Roman" w:hAnsi="Times New Roman"/>
          <w:color w:val="auto"/>
        </w:rPr>
        <w:t>4</w:t>
      </w:r>
      <w:r>
        <w:rPr>
          <w:rFonts w:ascii="Times New Roman" w:hAnsi="Times New Roman"/>
          <w:color w:val="auto"/>
        </w:rPr>
        <w:t>日</w:t>
      </w:r>
      <w:r>
        <w:rPr>
          <w:rFonts w:hint="eastAsia" w:ascii="Times New Roman" w:hAnsi="Times New Roman"/>
          <w:color w:val="auto"/>
        </w:rPr>
        <w:t>）</w:t>
      </w:r>
      <w:r>
        <w:rPr>
          <w:rFonts w:ascii="Times New Roman" w:hAnsi="Times New Roman"/>
          <w:color w:val="auto"/>
        </w:rPr>
        <w:t>血小板计数22</w:t>
      </w:r>
      <w:r>
        <w:rPr>
          <w:rFonts w:hint="eastAsia" w:ascii="Times New Roman" w:hAnsi="Times New Roman"/>
          <w:color w:val="auto"/>
        </w:rPr>
        <w:t>×</w:t>
      </w:r>
      <w:r>
        <w:rPr>
          <w:rFonts w:ascii="Times New Roman" w:hAnsi="Times New Roman"/>
          <w:color w:val="auto"/>
        </w:rPr>
        <w:t>10</w:t>
      </w:r>
      <w:r>
        <w:rPr>
          <w:rFonts w:ascii="Times New Roman" w:hAnsi="Times New Roman"/>
          <w:color w:val="auto"/>
          <w:vertAlign w:val="superscript"/>
        </w:rPr>
        <w:t>9</w:t>
      </w:r>
      <w:r>
        <w:rPr>
          <w:rFonts w:ascii="Times New Roman" w:hAnsi="Times New Roman"/>
          <w:color w:val="auto"/>
        </w:rPr>
        <w:t>/L</w:t>
      </w:r>
      <w:r>
        <w:rPr>
          <w:rFonts w:hint="eastAsia" w:ascii="Times New Roman" w:hAnsi="Times New Roman"/>
          <w:color w:val="auto"/>
        </w:rPr>
        <w:t>，提示严重血小板减少。</w:t>
      </w:r>
      <w:r>
        <w:rPr>
          <w:rFonts w:ascii="Times New Roman" w:hAnsi="Times New Roman"/>
          <w:color w:val="auto"/>
        </w:rPr>
        <w:t>医师</w:t>
      </w:r>
      <w:r>
        <w:rPr>
          <w:rFonts w:hint="eastAsia" w:ascii="Times New Roman" w:hAnsi="Times New Roman"/>
          <w:color w:val="auto"/>
        </w:rPr>
        <w:t>考虑药物导致，立即</w:t>
      </w:r>
      <w:r>
        <w:rPr>
          <w:rFonts w:ascii="Times New Roman" w:hAnsi="Times New Roman"/>
          <w:color w:val="auto"/>
        </w:rPr>
        <w:t>停用利奈唑胺，</w:t>
      </w:r>
      <w:r>
        <w:rPr>
          <w:rFonts w:hint="eastAsia" w:ascii="Times New Roman" w:hAnsi="Times New Roman"/>
          <w:color w:val="auto"/>
        </w:rPr>
        <w:t>换用万古霉素抗感染治疗，并</w:t>
      </w:r>
      <w:r>
        <w:rPr>
          <w:rFonts w:ascii="Times New Roman" w:hAnsi="Times New Roman"/>
          <w:color w:val="auto"/>
        </w:rPr>
        <w:t>给予利可君片20mg</w:t>
      </w:r>
      <w:r>
        <w:rPr>
          <w:rFonts w:hint="eastAsia" w:ascii="Times New Roman" w:hAnsi="Times New Roman"/>
          <w:color w:val="auto"/>
        </w:rPr>
        <w:t xml:space="preserve"> </w:t>
      </w:r>
      <w:r>
        <w:rPr>
          <w:rFonts w:ascii="Times New Roman" w:hAnsi="Times New Roman"/>
          <w:color w:val="auto"/>
        </w:rPr>
        <w:t>po</w:t>
      </w:r>
      <w:r>
        <w:rPr>
          <w:rFonts w:hint="eastAsia" w:ascii="Times New Roman" w:hAnsi="Times New Roman"/>
          <w:color w:val="auto"/>
        </w:rPr>
        <w:t xml:space="preserve"> </w:t>
      </w:r>
      <w:r>
        <w:rPr>
          <w:rFonts w:ascii="Times New Roman" w:hAnsi="Times New Roman"/>
          <w:color w:val="auto"/>
        </w:rPr>
        <w:t>tid</w:t>
      </w:r>
      <w:r>
        <w:rPr>
          <w:rFonts w:hint="eastAsia" w:ascii="Times New Roman" w:hAnsi="Times New Roman"/>
          <w:color w:val="auto"/>
        </w:rPr>
        <w:t>联合</w:t>
      </w:r>
      <w:r>
        <w:rPr>
          <w:rFonts w:ascii="Times New Roman" w:hAnsi="Times New Roman"/>
          <w:color w:val="auto"/>
        </w:rPr>
        <w:t>氨肽素片1g</w:t>
      </w:r>
      <w:r>
        <w:rPr>
          <w:rFonts w:hint="eastAsia" w:ascii="Times New Roman" w:hAnsi="Times New Roman"/>
          <w:color w:val="auto"/>
        </w:rPr>
        <w:t xml:space="preserve"> </w:t>
      </w:r>
      <w:r>
        <w:rPr>
          <w:rFonts w:ascii="Times New Roman" w:hAnsi="Times New Roman"/>
          <w:color w:val="auto"/>
        </w:rPr>
        <w:t>po</w:t>
      </w:r>
      <w:r>
        <w:rPr>
          <w:rFonts w:hint="eastAsia" w:ascii="Times New Roman" w:hAnsi="Times New Roman"/>
          <w:color w:val="auto"/>
        </w:rPr>
        <w:t xml:space="preserve"> </w:t>
      </w:r>
      <w:r>
        <w:rPr>
          <w:rFonts w:ascii="Times New Roman" w:hAnsi="Times New Roman"/>
          <w:color w:val="auto"/>
        </w:rPr>
        <w:t>tid</w:t>
      </w:r>
      <w:r>
        <w:rPr>
          <w:rFonts w:hint="eastAsia" w:ascii="Times New Roman" w:hAnsi="Times New Roman"/>
          <w:color w:val="auto"/>
        </w:rPr>
        <w:t>升血小板治疗</w:t>
      </w:r>
      <w:r>
        <w:rPr>
          <w:rFonts w:ascii="Times New Roman" w:hAnsi="Times New Roman"/>
          <w:color w:val="auto"/>
        </w:rPr>
        <w:t>。9月</w:t>
      </w:r>
      <w:r>
        <w:rPr>
          <w:rFonts w:hint="eastAsia" w:ascii="Times New Roman" w:hAnsi="Times New Roman"/>
          <w:color w:val="auto"/>
        </w:rPr>
        <w:t>20</w:t>
      </w:r>
      <w:r>
        <w:rPr>
          <w:rFonts w:ascii="Times New Roman" w:hAnsi="Times New Roman"/>
          <w:color w:val="auto"/>
        </w:rPr>
        <w:t>日</w:t>
      </w:r>
      <w:r>
        <w:rPr>
          <w:rFonts w:hint="eastAsia" w:ascii="Times New Roman" w:hAnsi="Times New Roman"/>
          <w:color w:val="auto"/>
        </w:rPr>
        <w:t>复查</w:t>
      </w:r>
      <w:r>
        <w:rPr>
          <w:rFonts w:ascii="Times New Roman" w:hAnsi="Times New Roman"/>
          <w:color w:val="auto"/>
        </w:rPr>
        <w:t>血小板计数70</w:t>
      </w:r>
      <w:r>
        <w:rPr>
          <w:rFonts w:hint="eastAsia" w:ascii="Times New Roman" w:hAnsi="Times New Roman"/>
          <w:color w:val="auto"/>
        </w:rPr>
        <w:t>×</w:t>
      </w:r>
      <w:r>
        <w:rPr>
          <w:rFonts w:ascii="Times New Roman" w:hAnsi="Times New Roman"/>
          <w:color w:val="auto"/>
        </w:rPr>
        <w:t>10</w:t>
      </w:r>
      <w:r>
        <w:rPr>
          <w:rFonts w:ascii="Times New Roman" w:hAnsi="Times New Roman"/>
          <w:color w:val="auto"/>
          <w:vertAlign w:val="superscript"/>
        </w:rPr>
        <w:t>9</w:t>
      </w:r>
      <w:r>
        <w:rPr>
          <w:rFonts w:ascii="Times New Roman" w:hAnsi="Times New Roman"/>
          <w:color w:val="auto"/>
        </w:rPr>
        <w:t>/L</w:t>
      </w:r>
      <w:r>
        <w:rPr>
          <w:rFonts w:hint="eastAsia" w:ascii="Times New Roman" w:hAnsi="Times New Roman"/>
          <w:color w:val="auto"/>
        </w:rPr>
        <w:t>，较前明显恢复。</w:t>
      </w:r>
    </w:p>
    <w:p w14:paraId="76338807">
      <w:pPr>
        <w:widowControl/>
        <w:spacing w:line="360" w:lineRule="auto"/>
        <w:ind w:firstLine="420" w:firstLineChars="200"/>
        <w:jc w:val="left"/>
        <w:rPr>
          <w:rFonts w:ascii="Times New Roman" w:hAnsi="Times New Roman" w:eastAsia="宋体" w:cs="Times New Roman"/>
          <w:color w:val="auto"/>
          <w:szCs w:val="21"/>
          <w:shd w:val="clear" w:color="auto" w:fill="FFFFFF"/>
        </w:rPr>
      </w:pPr>
      <w:r>
        <w:rPr>
          <w:rFonts w:hint="eastAsia" w:ascii="Times New Roman" w:hAnsi="Times New Roman"/>
          <w:color w:val="auto"/>
        </w:rPr>
        <w:t>关联性评价：患者血小板减少发生在使用利奈唑胺后，时间关联明确；利奈唑胺说明书中记载“血小板减少”为少见不良反应；停药后经升血小板治疗，血小板计数恢复（去激发阳性）；未重新使用利奈唑胺，再激发情况未知；</w:t>
      </w:r>
      <w:r>
        <w:rPr>
          <w:rFonts w:ascii="Times New Roman" w:hAnsi="Times New Roman" w:eastAsia="宋体" w:cs="Times New Roman"/>
          <w:color w:val="auto"/>
          <w:szCs w:val="21"/>
          <w:shd w:val="clear" w:color="auto" w:fill="FFFFFF"/>
        </w:rPr>
        <w:t>不能用并用药的作用、病情进展及其他治疗的影响来解释</w:t>
      </w:r>
      <w:r>
        <w:rPr>
          <w:rFonts w:hint="eastAsia" w:ascii="Times New Roman" w:hAnsi="Times New Roman" w:eastAsia="宋体" w:cs="Times New Roman"/>
          <w:color w:val="auto"/>
          <w:szCs w:val="21"/>
          <w:shd w:val="clear" w:color="auto" w:fill="FFFFFF"/>
        </w:rPr>
        <w:t>。</w:t>
      </w:r>
      <w:r>
        <w:rPr>
          <w:rFonts w:ascii="Times New Roman" w:hAnsi="Times New Roman" w:eastAsia="宋体" w:cs="Times New Roman"/>
          <w:color w:val="auto"/>
          <w:szCs w:val="21"/>
          <w:shd w:val="clear" w:color="auto" w:fill="FFFFFF"/>
        </w:rPr>
        <w:t>故关联性评价为很可能。</w:t>
      </w:r>
    </w:p>
    <w:p w14:paraId="361DC3F8">
      <w:pPr>
        <w:spacing w:line="360" w:lineRule="auto"/>
        <w:ind w:firstLine="422" w:firstLineChars="200"/>
        <w:rPr>
          <w:rFonts w:ascii="Times New Roman" w:hAnsi="Times New Roman"/>
          <w:b/>
          <w:bCs/>
          <w:color w:val="auto"/>
        </w:rPr>
      </w:pPr>
      <w:r>
        <w:rPr>
          <w:rFonts w:hint="eastAsia" w:ascii="Times New Roman" w:hAnsi="Times New Roman"/>
          <w:b/>
          <w:bCs/>
          <w:color w:val="auto"/>
        </w:rPr>
        <w:t>案例二</w:t>
      </w:r>
    </w:p>
    <w:p w14:paraId="7270D1DB">
      <w:pPr>
        <w:spacing w:line="360" w:lineRule="auto"/>
        <w:ind w:firstLine="420" w:firstLineChars="200"/>
        <w:rPr>
          <w:rFonts w:ascii="Times New Roman" w:hAnsi="Times New Roman"/>
          <w:color w:val="auto"/>
        </w:rPr>
      </w:pPr>
      <w:r>
        <w:rPr>
          <w:rFonts w:hint="eastAsia" w:ascii="Times New Roman" w:hAnsi="Times New Roman"/>
          <w:color w:val="auto"/>
        </w:rPr>
        <w:t>钟**，女，61岁，汉族，体重67.7kg，联系方式13********，病历号/门诊号：18*****，原患疾病：乳腺恶性肿瘤。既往药品不良反应/事件不详，家族药品不良反应/事件不详。</w:t>
      </w:r>
    </w:p>
    <w:p w14:paraId="33689437">
      <w:pPr>
        <w:spacing w:line="360" w:lineRule="auto"/>
        <w:ind w:firstLine="420" w:firstLineChars="200"/>
        <w:rPr>
          <w:rFonts w:ascii="Times New Roman" w:hAnsi="Times New Roman"/>
          <w:color w:val="auto"/>
        </w:rPr>
      </w:pPr>
      <w:r>
        <w:rPr>
          <w:rFonts w:hint="eastAsia" w:ascii="Times New Roman" w:hAnsi="Times New Roman"/>
          <w:color w:val="auto"/>
        </w:rPr>
        <w:t>6月24日患者因乳腺恶性肿瘤行第一周期化疗，化疗方案为多西他赛注射液120mg ivgtt st+注射用环磷酰胺1000mg ivgtt st。化疗前6月23日血常规：白细胞数4.59×</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/L，中性粒细胞计数2.1×</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/L。化疗后7月1日复查血常规：白细胞数1.03×</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/L，中性粒细胞计数0.3×</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/L，考虑化疗药物所致严重血细胞减少，立即</w:t>
      </w:r>
      <w:r>
        <w:rPr>
          <w:rFonts w:ascii="Times New Roman" w:hAnsi="Times New Roman"/>
          <w:color w:val="auto"/>
        </w:rPr>
        <w:t>给予</w:t>
      </w:r>
      <w:r>
        <w:rPr>
          <w:rFonts w:hint="eastAsia" w:ascii="Times New Roman" w:hAnsi="Times New Roman"/>
          <w:color w:val="auto"/>
        </w:rPr>
        <w:t>人粒细胞刺激因子300μg iH qd治疗。7月3日血常规：白细胞数8.92×</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/L，中性粒细胞计数4.7×</w:t>
      </w:r>
      <w:r>
        <w:rPr>
          <w:rFonts w:ascii="Times New Roman" w:hAnsi="Times New Roman"/>
          <w:color w:val="auto"/>
        </w:rPr>
        <w:t>10</w:t>
      </w:r>
      <w:r>
        <w:rPr>
          <w:rFonts w:ascii="Times New Roman" w:hAnsi="Times New Roman"/>
          <w:color w:val="auto"/>
          <w:vertAlign w:val="superscript"/>
        </w:rPr>
        <w:t>9</w:t>
      </w:r>
      <w:r>
        <w:rPr>
          <w:rFonts w:hint="eastAsia" w:ascii="Times New Roman" w:hAnsi="Times New Roman"/>
          <w:color w:val="auto"/>
        </w:rPr>
        <w:t>/L，提示白细胞数、中性粒细胞计数恢复正常范围。9月15日患者因重新使用上述化疗药物，再次出现严重血细胞减少。</w:t>
      </w:r>
    </w:p>
    <w:p w14:paraId="499B825E">
      <w:pPr>
        <w:widowControl/>
        <w:spacing w:line="360" w:lineRule="auto"/>
        <w:ind w:firstLine="420" w:firstLineChars="200"/>
        <w:jc w:val="left"/>
        <w:rPr>
          <w:rFonts w:ascii="Times New Roman" w:hAnsi="Times New Roman"/>
          <w:color w:val="auto"/>
        </w:rPr>
      </w:pPr>
      <w:r>
        <w:rPr>
          <w:rFonts w:hint="eastAsia" w:ascii="Times New Roman" w:hAnsi="Times New Roman"/>
          <w:color w:val="auto"/>
        </w:rPr>
        <w:t>关联性评价：严重血细胞减少在化疗后出现，时间关联明确；</w:t>
      </w:r>
      <w:r>
        <w:rPr>
          <w:rFonts w:ascii="Times New Roman" w:hAnsi="Times New Roman" w:cs="Times New Roman"/>
          <w:color w:val="auto"/>
        </w:rPr>
        <w:t>多西他赛注射液说明书记载</w:t>
      </w:r>
      <w:r>
        <w:rPr>
          <w:rFonts w:hint="eastAsia" w:ascii="Times New Roman" w:hAnsi="Times New Roman" w:cs="Times New Roman"/>
          <w:color w:val="auto"/>
        </w:rPr>
        <w:t>“</w:t>
      </w:r>
      <w:r>
        <w:rPr>
          <w:rFonts w:ascii="Times New Roman" w:hAnsi="Times New Roman" w:cs="Times New Roman"/>
          <w:color w:val="auto"/>
        </w:rPr>
        <w:t>骨髓抑制（白细胞</w:t>
      </w:r>
      <w:r>
        <w:rPr>
          <w:rFonts w:hint="eastAsia" w:ascii="Times New Roman" w:hAnsi="Times New Roman" w:cs="Times New Roman"/>
          <w:color w:val="auto"/>
        </w:rPr>
        <w:t>数</w:t>
      </w:r>
      <w:r>
        <w:rPr>
          <w:rFonts w:ascii="Times New Roman" w:hAnsi="Times New Roman" w:cs="Times New Roman"/>
          <w:color w:val="auto"/>
        </w:rPr>
        <w:t>、中性粒细胞</w:t>
      </w:r>
      <w:r>
        <w:rPr>
          <w:rFonts w:hint="eastAsia" w:ascii="Times New Roman" w:hAnsi="Times New Roman" w:cs="Times New Roman"/>
          <w:color w:val="auto"/>
        </w:rPr>
        <w:t>计数</w:t>
      </w:r>
      <w:r>
        <w:rPr>
          <w:rFonts w:ascii="Times New Roman" w:hAnsi="Times New Roman" w:cs="Times New Roman"/>
          <w:color w:val="auto"/>
        </w:rPr>
        <w:t>减少）</w:t>
      </w:r>
      <w:r>
        <w:rPr>
          <w:rFonts w:hint="eastAsia" w:ascii="Times New Roman" w:hAnsi="Times New Roman" w:cs="Times New Roman"/>
          <w:color w:val="auto"/>
        </w:rPr>
        <w:t>”</w:t>
      </w:r>
      <w:r>
        <w:rPr>
          <w:rFonts w:ascii="Times New Roman" w:hAnsi="Times New Roman" w:cs="Times New Roman"/>
          <w:color w:val="auto"/>
        </w:rPr>
        <w:t>为非常常见不良反应</w:t>
      </w:r>
      <w:r>
        <w:rPr>
          <w:rFonts w:hint="eastAsia" w:ascii="Times New Roman" w:hAnsi="Times New Roman" w:cs="Times New Roman"/>
          <w:color w:val="auto"/>
        </w:rPr>
        <w:t>；注射用环磷酰胺说明书记载“骨髓抑制（白细胞数、中性粒细胞计数减少）”为十分常见不良反应，药品说明书均提及相关不良反应；首次出现</w:t>
      </w:r>
      <w:r>
        <w:rPr>
          <w:rFonts w:hint="eastAsia" w:ascii="Times New Roman" w:hAnsi="Times New Roman"/>
          <w:color w:val="auto"/>
        </w:rPr>
        <w:t>严重血细胞减少</w:t>
      </w:r>
      <w:r>
        <w:rPr>
          <w:rFonts w:hint="eastAsia" w:ascii="Times New Roman" w:hAnsi="Times New Roman" w:cs="Times New Roman"/>
          <w:color w:val="auto"/>
        </w:rPr>
        <w:t>，经人粒细胞刺激因子对症治疗后指标恢复（去激发阳性）；9月15日重新使用多西他赛注射液+注射用环磷酰胺后，再次出现骨髓抑制（再激发阳性）。</w:t>
      </w:r>
      <w:r>
        <w:rPr>
          <w:rFonts w:ascii="Times New Roman" w:hAnsi="Times New Roman" w:eastAsia="宋体" w:cs="Times New Roman"/>
          <w:color w:val="auto"/>
          <w:szCs w:val="21"/>
          <w:shd w:val="clear" w:color="auto" w:fill="FFFFFF"/>
        </w:rPr>
        <w:t>不能用并用药的作用、病情进展及其他治疗的影响来解释，故关联性评价为</w:t>
      </w:r>
      <w:r>
        <w:rPr>
          <w:rFonts w:hint="eastAsia" w:ascii="Times New Roman" w:hAnsi="Times New Roman" w:eastAsia="宋体" w:cs="Times New Roman"/>
          <w:color w:val="auto"/>
          <w:szCs w:val="21"/>
          <w:shd w:val="clear" w:color="auto" w:fill="FFFFFF"/>
        </w:rPr>
        <w:t>肯定</w:t>
      </w:r>
      <w:r>
        <w:rPr>
          <w:rFonts w:ascii="Times New Roman" w:hAnsi="Times New Roman" w:eastAsia="宋体" w:cs="Times New Roman"/>
          <w:color w:val="auto"/>
          <w:szCs w:val="21"/>
          <w:shd w:val="clear" w:color="auto" w:fill="FFFFFF"/>
        </w:rPr>
        <w:t>。</w:t>
      </w:r>
    </w:p>
    <w:p w14:paraId="3AE75E14">
      <w:pPr>
        <w:topLinePunct/>
        <w:adjustRightInd w:val="0"/>
        <w:snapToGrid w:val="0"/>
        <w:spacing w:line="360" w:lineRule="auto"/>
        <w:outlineLvl w:val="0"/>
        <w:rPr>
          <w:rFonts w:ascii="Times New Roman" w:hAnsi="Times New Roman" w:eastAsia="黑体" w:cs="黑体"/>
          <w:snapToGrid w:val="0"/>
          <w:color w:val="auto"/>
          <w:kern w:val="0"/>
          <w:sz w:val="24"/>
          <w:lang w:bidi="ar"/>
        </w:rPr>
      </w:pPr>
      <w:bookmarkStart w:id="345" w:name="_Toc29384"/>
      <w:bookmarkStart w:id="346" w:name="_Toc17735"/>
      <w:bookmarkStart w:id="347" w:name="_Toc5745"/>
      <w:bookmarkStart w:id="348" w:name="_Toc3632"/>
      <w:bookmarkStart w:id="349" w:name="_Toc17248"/>
      <w:bookmarkStart w:id="350" w:name="_Toc14139"/>
      <w:bookmarkStart w:id="351" w:name="_Toc16671"/>
      <w:bookmarkStart w:id="352" w:name="_Toc321"/>
      <w:bookmarkStart w:id="353" w:name="_Toc3142"/>
      <w:bookmarkStart w:id="354" w:name="_Toc23538"/>
      <w:r>
        <w:rPr>
          <w:rFonts w:hint="eastAsia" w:ascii="Times New Roman" w:hAnsi="Times New Roman" w:eastAsia="黑体" w:cs="黑体"/>
          <w:snapToGrid w:val="0"/>
          <w:color w:val="auto"/>
          <w:kern w:val="0"/>
          <w:sz w:val="24"/>
          <w:lang w:bidi="ar"/>
        </w:rPr>
        <w:t xml:space="preserve">7 </w:t>
      </w:r>
      <w:bookmarkEnd w:id="254"/>
      <w:r>
        <w:rPr>
          <w:rFonts w:hint="eastAsia" w:ascii="Times New Roman" w:hAnsi="Times New Roman" w:eastAsia="黑体" w:cs="黑体"/>
          <w:snapToGrid w:val="0"/>
          <w:color w:val="auto"/>
          <w:kern w:val="0"/>
          <w:sz w:val="24"/>
          <w:lang w:bidi="ar"/>
        </w:rPr>
        <w:t>基于信息技术ADR的监测和报告</w:t>
      </w:r>
      <w:bookmarkEnd w:id="345"/>
      <w:bookmarkEnd w:id="346"/>
      <w:bookmarkEnd w:id="347"/>
      <w:bookmarkEnd w:id="348"/>
      <w:bookmarkEnd w:id="349"/>
      <w:bookmarkEnd w:id="350"/>
      <w:bookmarkEnd w:id="351"/>
      <w:bookmarkEnd w:id="352"/>
      <w:bookmarkEnd w:id="353"/>
      <w:bookmarkEnd w:id="354"/>
      <w:bookmarkStart w:id="355" w:name="_Toc16771"/>
      <w:bookmarkStart w:id="356" w:name="_Toc28267"/>
    </w:p>
    <w:p w14:paraId="70597F2D">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7.1 信息化支持ADR报告</w:t>
      </w:r>
    </w:p>
    <w:p w14:paraId="037C717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医疗机构可依托信息化技术构建药品不良反应全链条监测与报告管理体系，通过打通院内各信息系统数据壁垒、建立标准化智能监测规则、实现全流程线上闭环管控，切实解决传统人工监测报告模式下漏报、迟报、填报质量不达标等突出问题。该模式应以患者诊疗全周期数据为核心载体，整合医院信息系统（HIS）、电子病历系统（EMR）、检验信息系统（LIS）、药房管理系统、医嘱系统等多维度数据资源，融合主动预警、智能检索、自动抓取、规范填报、快速审核、直报监管全流程功能；依托全面触发工具（GTT）、人工智能辅助药学服务（AIPS）等技术手段，设置检验指标、临床表现、解救药物等ADR触发器线索，结合机器学习模型挖掘用药风险信号，精准定位疑似ADR病例，大幅提升不良事件检出率与监测敏锐度；同时严格恪守报告填报规范与法定上报时限，实现不良反应报告从发起、初评、审核、上报、随访到归档的全程可追溯，保障报告数据真实、完整、及时，契合</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ascii="Times New Roman" w:hAnsi="Times New Roman" w:eastAsia="宋体" w:cstheme="minorEastAsia"/>
          <w:snapToGrid w:val="0"/>
          <w:color w:val="auto"/>
          <w:kern w:val="0"/>
          <w:sz w:val="24"/>
          <w:lang w:bidi="ar"/>
        </w:rPr>
        <w:t>监测相关法律法规要求，助力临床用药安全风险早发现、早干预、早管控。</w:t>
      </w:r>
    </w:p>
    <w:p w14:paraId="7BA9018E">
      <w:pPr>
        <w:topLinePunct/>
        <w:adjustRightInd w:val="0"/>
        <w:snapToGrid w:val="0"/>
        <w:spacing w:line="360" w:lineRule="auto"/>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7.2 常见信息化辅助报告工具</w:t>
      </w:r>
    </w:p>
    <w:p w14:paraId="7B619E92">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当前临床应用的药品不良反应信息化监测与报告工具，覆盖监测识别、智能初评、在线填报、审核上报、数据分析全流程，主流工具及核心功能如下：一是电子数据药物警戒系统（Electronic Pharmacovigilance System，EPV），</w:t>
      </w:r>
      <w:r>
        <w:rPr>
          <w:rFonts w:hint="eastAsia" w:ascii="Times New Roman" w:hAnsi="Times New Roman" w:eastAsia="宋体" w:cstheme="minorEastAsia"/>
          <w:snapToGrid w:val="0"/>
          <w:color w:val="auto"/>
          <w:kern w:val="0"/>
          <w:sz w:val="24"/>
          <w:lang w:bidi="ar"/>
        </w:rPr>
        <w:t>由国家药品不良反应监测中心联合清华海峡研究院最新研发的对标国际ICH E2B（R3）标准、契合国家“一体两翼”药物警戒体系建设的新一代智能化监测工具，在技术架构、功能覆盖、安全防护和生态协同等方面实现全方位升级，可全方位支撑药械不良反应监测上报与药学研究相关工作。该系统突破传统单一关键词检索的局限，依托自然语言处理（NLP）与机器学习技术搭建智能监测引擎，能深度整合院内HIS、EMR、LIS等多系统数据，自动抓取用药时序、检验指标、临床表现等多维线索，精准定位疑似ADR病例；数据传输环节采用E2B网关加密技术与公钥私钥证书认证，实现数据双向加密传输，满足等保三级与个人隐私保护要求，同时全面支持报告上行、补充材料、修改申请等全流程闭环协同，实现药物警戒信息实时共享，有效解决了传统模式下无法接收下行反馈的行业痛点。此外，系统创新构建开放生态平台，支持第三方知识库、个体化用药工具、科研分析模块的灵活接入，可提供共识指南订阅、典型病例共享、药企风险沟通等增值服务，为药物警戒工作打造从监测、上报、分析到科研的全链条解决方案</w:t>
      </w:r>
      <w:r>
        <w:rPr>
          <w:rFonts w:ascii="Times New Roman" w:hAnsi="Times New Roman" w:eastAsia="宋体" w:cstheme="minorEastAsia"/>
          <w:snapToGrid w:val="0"/>
          <w:color w:val="auto"/>
          <w:kern w:val="0"/>
          <w:sz w:val="24"/>
          <w:lang w:bidi="ar"/>
        </w:rPr>
        <w:t>；二是中国医院药物警戒系统（China Hospital Pharmacovigilance System，CHPS），由国家药品不良反应监测中心组织开发，专为监测哨点设计，辅助开展药械不良反应/事件发现、报告、评价、重点监测及上市后研究工作。该系统基于医院HIS系统，通过关键词组、检验影像学指标等ADR条件智能检索，筛选疑似病例，可同步调取患者基本信息、处方、用药出库、检验影像、电子病历等数据，本地生成ADR报表，借助Web Service技术转换为标准xml格式，经临床药师审核校准后直传国家监测系统；内设标准数据管理、药品评价管理、数据处理与分析三大模块，核心为药品评价管理模块，具备数据集成共享提效、全库主动监测防漏报、接收监管端信息反馈三大优势；三是GTT应用模块，以触发器为筛查线索，定向定位病历中不良事件，检出效率高于传统自愿呈报系统，可针对特定药物、病种设置监测线索，实现靶向主动监测；四是AIPS系统，依托临床大数据与用药时序数据，通过机器学习识别风险信号、预测不良事件，结合触发器发出预警，智能完成疑似病例评价与报表生成；五是院内嵌入式ADR上报模块及移动端工具，内嵌临床医护工作站，支持数据自动回填、一键上报，移动端APP适配床边、急诊等场景，进一步提升上报便捷性。</w:t>
      </w:r>
    </w:p>
    <w:bookmarkEnd w:id="355"/>
    <w:bookmarkEnd w:id="356"/>
    <w:p w14:paraId="44E161A6">
      <w:pPr>
        <w:topLinePunct/>
        <w:adjustRightInd w:val="0"/>
        <w:snapToGrid w:val="0"/>
        <w:spacing w:line="360" w:lineRule="auto"/>
        <w:outlineLvl w:val="0"/>
        <w:rPr>
          <w:rFonts w:ascii="Times New Roman" w:hAnsi="Times New Roman" w:eastAsia="黑体" w:cs="黑体"/>
          <w:snapToGrid w:val="0"/>
          <w:color w:val="auto"/>
          <w:kern w:val="0"/>
          <w:sz w:val="24"/>
          <w:lang w:bidi="ar"/>
        </w:rPr>
      </w:pPr>
      <w:bookmarkStart w:id="357" w:name="_Toc30965"/>
      <w:bookmarkStart w:id="358" w:name="_Toc5754"/>
      <w:bookmarkStart w:id="359" w:name="_Toc29297"/>
      <w:bookmarkStart w:id="360" w:name="_Toc582"/>
      <w:bookmarkStart w:id="361" w:name="_Toc26210"/>
      <w:bookmarkStart w:id="362" w:name="_Toc32493"/>
      <w:bookmarkStart w:id="363" w:name="_Toc17434"/>
      <w:bookmarkStart w:id="364" w:name="_Toc22475"/>
      <w:bookmarkStart w:id="365" w:name="_Toc12393"/>
      <w:bookmarkStart w:id="366" w:name="_Toc6566"/>
      <w:bookmarkStart w:id="367" w:name="_Toc31868"/>
      <w:r>
        <w:rPr>
          <w:rFonts w:hint="eastAsia" w:ascii="Times New Roman" w:hAnsi="Times New Roman" w:eastAsia="黑体" w:cs="黑体"/>
          <w:snapToGrid w:val="0"/>
          <w:color w:val="auto"/>
          <w:kern w:val="0"/>
          <w:sz w:val="24"/>
          <w:lang w:bidi="ar"/>
        </w:rPr>
        <w:t>8 术语集</w:t>
      </w:r>
      <w:bookmarkEnd w:id="357"/>
      <w:bookmarkEnd w:id="358"/>
      <w:bookmarkEnd w:id="359"/>
      <w:bookmarkEnd w:id="360"/>
      <w:bookmarkEnd w:id="361"/>
      <w:bookmarkEnd w:id="362"/>
      <w:bookmarkEnd w:id="363"/>
      <w:bookmarkEnd w:id="364"/>
      <w:bookmarkEnd w:id="365"/>
      <w:bookmarkEnd w:id="366"/>
      <w:bookmarkEnd w:id="367"/>
    </w:p>
    <w:p w14:paraId="7B657E62">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368" w:name="_Toc16178"/>
      <w:bookmarkStart w:id="369" w:name="_Toc4838"/>
      <w:bookmarkStart w:id="370" w:name="_Toc4273"/>
      <w:bookmarkStart w:id="371" w:name="_Toc5066"/>
      <w:bookmarkStart w:id="372" w:name="_Toc31421"/>
      <w:bookmarkStart w:id="373" w:name="_Toc4732"/>
      <w:bookmarkStart w:id="374" w:name="_Toc1929"/>
      <w:bookmarkStart w:id="375" w:name="_Toc19343"/>
      <w:bookmarkStart w:id="376" w:name="_Toc5543"/>
      <w:bookmarkStart w:id="377" w:name="_Toc12297"/>
      <w:bookmarkStart w:id="378" w:name="_Toc11244"/>
      <w:r>
        <w:rPr>
          <w:rFonts w:hint="eastAsia" w:ascii="Times New Roman" w:hAnsi="Times New Roman" w:eastAsia="宋体" w:cstheme="minorEastAsia"/>
          <w:b/>
          <w:bCs/>
          <w:snapToGrid w:val="0"/>
          <w:color w:val="auto"/>
          <w:kern w:val="0"/>
          <w:sz w:val="24"/>
          <w:lang w:bidi="ar"/>
        </w:rPr>
        <w:t xml:space="preserve">8.1 </w:t>
      </w:r>
      <w:r>
        <w:rPr>
          <w:rFonts w:ascii="Times New Roman" w:hAnsi="Times New Roman" w:eastAsia="宋体" w:cstheme="minorEastAsia"/>
          <w:b/>
          <w:bCs/>
          <w:snapToGrid w:val="0"/>
          <w:color w:val="auto"/>
          <w:kern w:val="0"/>
          <w:sz w:val="24"/>
          <w:lang w:bidi="ar"/>
        </w:rPr>
        <w:t>药品不良反应</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bidi="ar"/>
        </w:rPr>
        <w:t>dverse drug reaction）</w:t>
      </w:r>
      <w:bookmarkEnd w:id="368"/>
      <w:bookmarkEnd w:id="369"/>
      <w:bookmarkEnd w:id="370"/>
      <w:bookmarkEnd w:id="371"/>
      <w:bookmarkEnd w:id="372"/>
      <w:bookmarkEnd w:id="373"/>
      <w:bookmarkEnd w:id="374"/>
      <w:bookmarkEnd w:id="375"/>
      <w:bookmarkEnd w:id="376"/>
      <w:bookmarkEnd w:id="377"/>
      <w:bookmarkEnd w:id="378"/>
    </w:p>
    <w:p w14:paraId="0F1AA730">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ascii="Times New Roman" w:hAnsi="Times New Roman" w:eastAsia="宋体" w:cstheme="minorEastAsia"/>
          <w:snapToGrid w:val="0"/>
          <w:color w:val="auto"/>
          <w:kern w:val="0"/>
          <w:sz w:val="24"/>
          <w:lang w:bidi="ar"/>
        </w:rPr>
        <w:t>是指合格药品在正常用法用量下出现的与用药目的无关的有害反应</w:t>
      </w:r>
      <w:r>
        <w:rPr>
          <w:rFonts w:hint="eastAsia" w:ascii="Times New Roman" w:hAnsi="Times New Roman" w:eastAsia="宋体" w:cstheme="minorEastAsia"/>
          <w:snapToGrid w:val="0"/>
          <w:color w:val="auto"/>
          <w:kern w:val="0"/>
          <w:sz w:val="24"/>
          <w:lang w:bidi="ar"/>
        </w:rPr>
        <w:t>。</w:t>
      </w:r>
    </w:p>
    <w:p w14:paraId="09DD827D">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379" w:name="_Toc19687"/>
      <w:bookmarkStart w:id="380" w:name="_Toc28028"/>
      <w:bookmarkStart w:id="381" w:name="_Toc17901"/>
      <w:bookmarkStart w:id="382" w:name="_Toc18856"/>
      <w:bookmarkStart w:id="383" w:name="_Toc31521"/>
      <w:bookmarkStart w:id="384" w:name="_Toc12199"/>
      <w:bookmarkStart w:id="385" w:name="_Toc8672"/>
      <w:bookmarkStart w:id="386" w:name="_Toc8549"/>
      <w:bookmarkStart w:id="387" w:name="_Toc2316"/>
      <w:bookmarkStart w:id="388" w:name="_Toc20890"/>
      <w:bookmarkStart w:id="389" w:name="_Toc4654"/>
      <w:r>
        <w:rPr>
          <w:rFonts w:hint="eastAsia" w:ascii="Times New Roman" w:hAnsi="Times New Roman" w:eastAsia="宋体" w:cstheme="minorEastAsia"/>
          <w:b/>
          <w:bCs/>
          <w:snapToGrid w:val="0"/>
          <w:color w:val="auto"/>
          <w:kern w:val="0"/>
          <w:sz w:val="24"/>
          <w:lang w:bidi="ar"/>
        </w:rPr>
        <w:t>8.2 药品不良事件</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val="en-US" w:eastAsia="zh-CN" w:bidi="ar"/>
        </w:rPr>
        <w:t>A</w:t>
      </w:r>
      <w:r>
        <w:rPr>
          <w:rFonts w:hint="eastAsia" w:ascii="Times New Roman" w:hAnsi="Times New Roman" w:eastAsia="宋体" w:cstheme="minorEastAsia"/>
          <w:snapToGrid w:val="0"/>
          <w:color w:val="auto"/>
          <w:kern w:val="0"/>
          <w:sz w:val="24"/>
          <w:lang w:bidi="ar"/>
        </w:rPr>
        <w:t>dverse drug event）</w:t>
      </w:r>
      <w:bookmarkEnd w:id="379"/>
      <w:bookmarkEnd w:id="380"/>
      <w:bookmarkEnd w:id="381"/>
      <w:bookmarkEnd w:id="382"/>
      <w:bookmarkEnd w:id="383"/>
      <w:bookmarkEnd w:id="384"/>
      <w:bookmarkEnd w:id="385"/>
      <w:bookmarkEnd w:id="386"/>
      <w:bookmarkEnd w:id="387"/>
      <w:bookmarkEnd w:id="388"/>
      <w:bookmarkEnd w:id="389"/>
    </w:p>
    <w:p w14:paraId="6AEB632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药品治疗过程中所发生的任何不良的医疗卫生事件。而这种事件不一定与药品治疗有因果关系。包括两个要素：一是不良事件的发生是由上市药品或药品临床试验期间引起的相关事件；二是产生的结果对人体有害。按照事件产生成因，分类为药品标准缺陷、药品质量问题、</w:t>
      </w:r>
      <w:r>
        <w:rPr>
          <w:rFonts w:hint="eastAsia" w:ascii="Times New Roman" w:hAnsi="Times New Roman" w:eastAsia="宋体" w:cstheme="minorEastAsia"/>
          <w:snapToGrid w:val="0"/>
          <w:color w:val="auto"/>
          <w:kern w:val="0"/>
          <w:sz w:val="24"/>
          <w:lang w:val="en-US" w:eastAsia="zh-CN" w:bidi="ar"/>
        </w:rPr>
        <w:t>ADR</w:t>
      </w:r>
      <w:r>
        <w:rPr>
          <w:rFonts w:hint="eastAsia" w:ascii="Times New Roman" w:hAnsi="Times New Roman" w:eastAsia="宋体" w:cstheme="minorEastAsia"/>
          <w:snapToGrid w:val="0"/>
          <w:color w:val="auto"/>
          <w:kern w:val="0"/>
          <w:sz w:val="24"/>
          <w:lang w:bidi="ar"/>
        </w:rPr>
        <w:t>、用药错误以及药品滥用等事件。</w:t>
      </w:r>
    </w:p>
    <w:p w14:paraId="1E4FCCD2">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390" w:name="_Toc14764"/>
      <w:bookmarkStart w:id="391" w:name="_Toc750"/>
      <w:bookmarkStart w:id="392" w:name="_Toc9512"/>
      <w:bookmarkStart w:id="393" w:name="_Toc25811"/>
      <w:bookmarkStart w:id="394" w:name="_Toc3753"/>
      <w:bookmarkStart w:id="395" w:name="_Toc31328"/>
      <w:bookmarkStart w:id="396" w:name="_Toc28621"/>
      <w:bookmarkStart w:id="397" w:name="_Toc9727"/>
      <w:bookmarkStart w:id="398" w:name="_Toc13212"/>
      <w:bookmarkStart w:id="399" w:name="_Toc7270"/>
      <w:bookmarkStart w:id="400" w:name="_Toc12013"/>
      <w:r>
        <w:rPr>
          <w:rFonts w:hint="eastAsia" w:ascii="Times New Roman" w:hAnsi="Times New Roman" w:eastAsia="宋体" w:cstheme="minorEastAsia"/>
          <w:b/>
          <w:bCs/>
          <w:snapToGrid w:val="0"/>
          <w:color w:val="auto"/>
          <w:kern w:val="0"/>
          <w:sz w:val="24"/>
          <w:lang w:bidi="ar"/>
        </w:rPr>
        <w:t>8.3 严重药品不良反应</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S</w:t>
      </w:r>
      <w:r>
        <w:rPr>
          <w:rFonts w:hint="eastAsia" w:ascii="Times New Roman" w:hAnsi="Times New Roman" w:eastAsia="宋体" w:cstheme="minorEastAsia"/>
          <w:snapToGrid w:val="0"/>
          <w:color w:val="auto"/>
          <w:kern w:val="0"/>
          <w:sz w:val="24"/>
          <w:lang w:bidi="ar"/>
        </w:rPr>
        <w:t>erious adverse drug reaction）</w:t>
      </w:r>
      <w:bookmarkEnd w:id="390"/>
      <w:bookmarkEnd w:id="391"/>
      <w:bookmarkEnd w:id="392"/>
      <w:bookmarkEnd w:id="393"/>
      <w:bookmarkEnd w:id="394"/>
      <w:bookmarkEnd w:id="395"/>
      <w:bookmarkEnd w:id="396"/>
      <w:bookmarkEnd w:id="397"/>
      <w:bookmarkEnd w:id="398"/>
      <w:bookmarkEnd w:id="399"/>
      <w:bookmarkEnd w:id="400"/>
    </w:p>
    <w:p w14:paraId="48939BD5">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因使用药品引起以下损害情形之一的反应：导致死亡；危及生命；致癌、致畸、致出生缺陷；导致显著的或者永久的人体伤残或者器官功能的损伤；导致住院或者住院时间延长；导致其他重要医学事件，如不进行治疗可能出现上述所列情况的不良反应。</w:t>
      </w:r>
    </w:p>
    <w:p w14:paraId="665D5F28">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01" w:name="_Toc32183"/>
      <w:bookmarkStart w:id="402" w:name="_Toc21436"/>
      <w:bookmarkStart w:id="403" w:name="_Toc26567"/>
      <w:bookmarkStart w:id="404" w:name="_Toc20707"/>
      <w:bookmarkStart w:id="405" w:name="_Toc15417"/>
      <w:bookmarkStart w:id="406" w:name="_Toc9213"/>
      <w:bookmarkStart w:id="407" w:name="_Toc31669"/>
      <w:bookmarkStart w:id="408" w:name="_Toc10706"/>
      <w:bookmarkStart w:id="409" w:name="_Toc25427"/>
      <w:bookmarkStart w:id="410" w:name="_Toc20886"/>
      <w:bookmarkStart w:id="411" w:name="_Toc4354"/>
      <w:r>
        <w:rPr>
          <w:rFonts w:hint="eastAsia" w:ascii="Times New Roman" w:hAnsi="Times New Roman" w:eastAsia="宋体" w:cstheme="minorEastAsia"/>
          <w:b/>
          <w:bCs/>
          <w:snapToGrid w:val="0"/>
          <w:color w:val="auto"/>
          <w:kern w:val="0"/>
          <w:sz w:val="24"/>
          <w:lang w:bidi="ar"/>
        </w:rPr>
        <w:t>8.4 新的药品不良反应</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N</w:t>
      </w:r>
      <w:r>
        <w:rPr>
          <w:rFonts w:hint="eastAsia" w:ascii="Times New Roman" w:hAnsi="Times New Roman" w:eastAsia="宋体" w:cstheme="minorEastAsia"/>
          <w:snapToGrid w:val="0"/>
          <w:color w:val="auto"/>
          <w:kern w:val="0"/>
          <w:sz w:val="24"/>
          <w:lang w:bidi="ar"/>
        </w:rPr>
        <w:t>ew adverse drug reaction）</w:t>
      </w:r>
      <w:bookmarkEnd w:id="401"/>
      <w:bookmarkEnd w:id="402"/>
      <w:bookmarkEnd w:id="403"/>
      <w:bookmarkEnd w:id="404"/>
      <w:bookmarkEnd w:id="405"/>
      <w:bookmarkEnd w:id="406"/>
      <w:bookmarkEnd w:id="407"/>
      <w:bookmarkEnd w:id="408"/>
      <w:bookmarkEnd w:id="409"/>
      <w:bookmarkEnd w:id="410"/>
      <w:bookmarkEnd w:id="411"/>
    </w:p>
    <w:p w14:paraId="4DFFFBC3">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药品说明书中未载明的不良反应。说明书中已有描述，但不良反应发生的性质、程度、后果或者频率与说明书描述不一致或者更严重的，按照新的药品不良反应处理。</w:t>
      </w:r>
    </w:p>
    <w:p w14:paraId="3B90DE30">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12" w:name="_Toc3951"/>
      <w:bookmarkStart w:id="413" w:name="_Toc32105"/>
      <w:bookmarkStart w:id="414" w:name="_Toc7777"/>
      <w:bookmarkStart w:id="415" w:name="_Toc7306"/>
      <w:bookmarkStart w:id="416" w:name="_Toc26800"/>
      <w:bookmarkStart w:id="417" w:name="_Toc7660"/>
      <w:bookmarkStart w:id="418" w:name="_Toc4816"/>
      <w:bookmarkStart w:id="419" w:name="_Toc679"/>
      <w:bookmarkStart w:id="420" w:name="_Toc27079"/>
      <w:bookmarkStart w:id="421" w:name="_Toc24361"/>
      <w:bookmarkStart w:id="422" w:name="_Toc31831"/>
      <w:r>
        <w:rPr>
          <w:rFonts w:hint="eastAsia" w:ascii="Times New Roman" w:hAnsi="Times New Roman" w:eastAsia="宋体" w:cstheme="minorEastAsia"/>
          <w:b/>
          <w:bCs/>
          <w:snapToGrid w:val="0"/>
          <w:color w:val="auto"/>
          <w:kern w:val="0"/>
          <w:sz w:val="24"/>
          <w:lang w:bidi="ar"/>
        </w:rPr>
        <w:t>8.5 药品不良反应报告和监测</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bidi="ar"/>
        </w:rPr>
        <w:t>dverse drug reaction report and monitor）</w:t>
      </w:r>
      <w:bookmarkEnd w:id="412"/>
      <w:bookmarkEnd w:id="413"/>
      <w:bookmarkEnd w:id="414"/>
      <w:bookmarkEnd w:id="415"/>
      <w:bookmarkEnd w:id="416"/>
      <w:bookmarkEnd w:id="417"/>
      <w:bookmarkEnd w:id="418"/>
      <w:bookmarkEnd w:id="419"/>
      <w:bookmarkEnd w:id="420"/>
      <w:bookmarkEnd w:id="421"/>
      <w:bookmarkEnd w:id="422"/>
    </w:p>
    <w:p w14:paraId="288F6C17">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eastAsia="zh-CN" w:bidi="ar"/>
        </w:rPr>
        <w:t>A</w:t>
      </w:r>
      <w:r>
        <w:rPr>
          <w:rFonts w:hint="eastAsia" w:ascii="Times New Roman" w:hAnsi="Times New Roman" w:eastAsia="宋体" w:cstheme="minorEastAsia"/>
          <w:snapToGrid w:val="0"/>
          <w:color w:val="auto"/>
          <w:kern w:val="0"/>
          <w:sz w:val="24"/>
          <w:lang w:val="en-US" w:eastAsia="zh-CN" w:bidi="ar"/>
        </w:rPr>
        <w:t>DR</w:t>
      </w:r>
      <w:r>
        <w:rPr>
          <w:rFonts w:hint="eastAsia" w:ascii="Times New Roman" w:hAnsi="Times New Roman" w:eastAsia="宋体" w:cstheme="minorEastAsia"/>
          <w:snapToGrid w:val="0"/>
          <w:color w:val="auto"/>
          <w:kern w:val="0"/>
          <w:sz w:val="24"/>
          <w:lang w:bidi="ar"/>
        </w:rPr>
        <w:t>的发现、报告、评价和控制的过程。</w:t>
      </w:r>
    </w:p>
    <w:p w14:paraId="3DE3FE07">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23" w:name="_Toc9008"/>
      <w:bookmarkStart w:id="424" w:name="_Toc15352"/>
      <w:bookmarkStart w:id="425" w:name="_Toc24818"/>
      <w:bookmarkStart w:id="426" w:name="_Toc32155"/>
      <w:bookmarkStart w:id="427" w:name="_Toc22635"/>
      <w:bookmarkStart w:id="428" w:name="_Toc2554"/>
      <w:bookmarkStart w:id="429" w:name="_Toc28497"/>
      <w:bookmarkStart w:id="430" w:name="_Toc32151"/>
      <w:bookmarkStart w:id="431" w:name="_Toc28582"/>
      <w:bookmarkStart w:id="432" w:name="_Toc4299"/>
      <w:bookmarkStart w:id="433" w:name="_Toc17622"/>
      <w:r>
        <w:rPr>
          <w:rFonts w:hint="eastAsia" w:ascii="Times New Roman" w:hAnsi="Times New Roman" w:eastAsia="宋体" w:cstheme="minorEastAsia"/>
          <w:b/>
          <w:bCs/>
          <w:snapToGrid w:val="0"/>
          <w:color w:val="auto"/>
          <w:kern w:val="0"/>
          <w:sz w:val="24"/>
          <w:lang w:bidi="ar"/>
        </w:rPr>
        <w:t>8.6 药品群体不良事件</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M</w:t>
      </w:r>
      <w:r>
        <w:rPr>
          <w:rFonts w:hint="eastAsia" w:ascii="Times New Roman" w:hAnsi="Times New Roman" w:eastAsia="宋体" w:cstheme="minorEastAsia"/>
          <w:snapToGrid w:val="0"/>
          <w:color w:val="auto"/>
          <w:kern w:val="0"/>
          <w:sz w:val="24"/>
          <w:lang w:bidi="ar"/>
        </w:rPr>
        <w:t>ass adverse drug events）</w:t>
      </w:r>
      <w:bookmarkEnd w:id="423"/>
      <w:bookmarkEnd w:id="424"/>
      <w:bookmarkEnd w:id="425"/>
      <w:bookmarkEnd w:id="426"/>
      <w:bookmarkEnd w:id="427"/>
      <w:bookmarkEnd w:id="428"/>
      <w:bookmarkEnd w:id="429"/>
      <w:bookmarkEnd w:id="430"/>
      <w:bookmarkEnd w:id="431"/>
      <w:bookmarkEnd w:id="432"/>
      <w:bookmarkEnd w:id="433"/>
    </w:p>
    <w:p w14:paraId="4D7B2019">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是指同一药品在使用过程中，在相对集中的时间、区域内，对一定数量人群的身体健康或者生命安全造成损害或者威胁，需要予以紧急处置的事件。同一药品：指同一生产企业生产的同一药品名称、同一剂型、同一规格、同一批次的药品。</w:t>
      </w:r>
    </w:p>
    <w:p w14:paraId="416CD04F">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34" w:name="_Toc20525"/>
      <w:bookmarkStart w:id="435" w:name="_Toc23245"/>
      <w:bookmarkStart w:id="436" w:name="_Toc29862"/>
      <w:bookmarkStart w:id="437" w:name="_Toc6037"/>
      <w:bookmarkStart w:id="438" w:name="_Toc11014"/>
      <w:bookmarkStart w:id="439" w:name="_Toc27932"/>
      <w:bookmarkStart w:id="440" w:name="_Toc4915"/>
      <w:bookmarkStart w:id="441" w:name="_Toc9471"/>
      <w:bookmarkStart w:id="442" w:name="_Toc17861"/>
      <w:bookmarkStart w:id="443" w:name="_Toc10613"/>
      <w:r>
        <w:rPr>
          <w:rFonts w:hint="eastAsia" w:ascii="Times New Roman" w:hAnsi="Times New Roman" w:eastAsia="宋体" w:cstheme="minorEastAsia"/>
          <w:b/>
          <w:bCs/>
          <w:snapToGrid w:val="0"/>
          <w:color w:val="auto"/>
          <w:kern w:val="0"/>
          <w:sz w:val="24"/>
          <w:lang w:bidi="ar"/>
        </w:rPr>
        <w:t>8.7 药品不良反应聚集性事件</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C</w:t>
      </w:r>
      <w:r>
        <w:rPr>
          <w:rFonts w:hint="eastAsia" w:ascii="Times New Roman" w:hAnsi="Times New Roman" w:eastAsia="宋体" w:cstheme="minorEastAsia"/>
          <w:snapToGrid w:val="0"/>
          <w:color w:val="auto"/>
          <w:kern w:val="0"/>
          <w:sz w:val="24"/>
          <w:lang w:bidi="ar"/>
        </w:rPr>
        <w:t>luster adverse drug events）</w:t>
      </w:r>
      <w:bookmarkEnd w:id="434"/>
      <w:bookmarkEnd w:id="435"/>
      <w:bookmarkEnd w:id="436"/>
      <w:bookmarkEnd w:id="437"/>
      <w:bookmarkEnd w:id="438"/>
      <w:bookmarkEnd w:id="439"/>
      <w:bookmarkEnd w:id="440"/>
      <w:bookmarkEnd w:id="441"/>
      <w:bookmarkEnd w:id="442"/>
      <w:bookmarkEnd w:id="443"/>
    </w:p>
    <w:p w14:paraId="38CE7376">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同一批号（或相邻批号）的同一药品在短期内集中出现多例临床表现相似的疑似不良反应，呈现聚集性特点，且怀疑与质量相关或可能存在其他安全风险的事件。</w:t>
      </w:r>
    </w:p>
    <w:p w14:paraId="60F83879">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44" w:name="_Toc14864"/>
      <w:bookmarkStart w:id="445" w:name="_Toc1001"/>
      <w:bookmarkStart w:id="446" w:name="_Toc21599"/>
      <w:bookmarkStart w:id="447" w:name="_Toc26685"/>
      <w:bookmarkStart w:id="448" w:name="_Toc21213"/>
      <w:bookmarkStart w:id="449" w:name="_Toc803"/>
      <w:bookmarkStart w:id="450" w:name="_Toc15675"/>
      <w:bookmarkStart w:id="451" w:name="_Toc9303"/>
      <w:bookmarkStart w:id="452" w:name="_Toc3108"/>
      <w:bookmarkStart w:id="453" w:name="_Toc24269"/>
      <w:bookmarkStart w:id="454" w:name="_Toc22355"/>
      <w:r>
        <w:rPr>
          <w:rFonts w:hint="eastAsia" w:ascii="Times New Roman" w:hAnsi="Times New Roman" w:eastAsia="宋体" w:cstheme="minorEastAsia"/>
          <w:b/>
          <w:bCs/>
          <w:snapToGrid w:val="0"/>
          <w:color w:val="auto"/>
          <w:kern w:val="0"/>
          <w:sz w:val="24"/>
          <w:lang w:bidi="ar"/>
        </w:rPr>
        <w:t>8.8 风险信号</w:t>
      </w:r>
      <w:r>
        <w:rPr>
          <w:rFonts w:hint="eastAsia" w:ascii="Times New Roman" w:hAnsi="Times New Roman" w:eastAsia="宋体" w:cstheme="minorEastAsia"/>
          <w:snapToGrid w:val="0"/>
          <w:color w:val="auto"/>
          <w:kern w:val="0"/>
          <w:sz w:val="24"/>
          <w:lang w:bidi="ar"/>
        </w:rPr>
        <w:t>（</w:t>
      </w:r>
      <w:r>
        <w:rPr>
          <w:rFonts w:hint="eastAsia" w:ascii="Times New Roman" w:hAnsi="Times New Roman" w:eastAsia="宋体" w:cstheme="minorEastAsia"/>
          <w:snapToGrid w:val="0"/>
          <w:color w:val="auto"/>
          <w:kern w:val="0"/>
          <w:sz w:val="24"/>
          <w:lang w:eastAsia="zh-CN" w:bidi="ar"/>
        </w:rPr>
        <w:t>R</w:t>
      </w:r>
      <w:r>
        <w:rPr>
          <w:rFonts w:hint="eastAsia" w:ascii="Times New Roman" w:hAnsi="Times New Roman" w:eastAsia="宋体" w:cstheme="minorEastAsia"/>
          <w:snapToGrid w:val="0"/>
          <w:color w:val="auto"/>
          <w:kern w:val="0"/>
          <w:sz w:val="24"/>
          <w:lang w:bidi="ar"/>
        </w:rPr>
        <w:t>isk signal）</w:t>
      </w:r>
      <w:bookmarkEnd w:id="444"/>
      <w:bookmarkEnd w:id="445"/>
      <w:bookmarkEnd w:id="446"/>
      <w:bookmarkEnd w:id="447"/>
      <w:bookmarkEnd w:id="448"/>
      <w:bookmarkEnd w:id="449"/>
      <w:bookmarkEnd w:id="450"/>
      <w:bookmarkEnd w:id="451"/>
      <w:bookmarkEnd w:id="452"/>
      <w:bookmarkEnd w:id="453"/>
      <w:bookmarkEnd w:id="454"/>
    </w:p>
    <w:p w14:paraId="7197416C">
      <w:pPr>
        <w:topLinePunct/>
        <w:adjustRightInd w:val="0"/>
        <w:snapToGrid w:val="0"/>
        <w:spacing w:line="360" w:lineRule="auto"/>
        <w:ind w:firstLine="480" w:firstLineChars="200"/>
        <w:rPr>
          <w:rFonts w:ascii="Times New Roman" w:hAnsi="Times New Roman" w:eastAsia="宋体" w:cstheme="minorEastAsia"/>
          <w:snapToGrid w:val="0"/>
          <w:color w:val="auto"/>
          <w:kern w:val="0"/>
          <w:sz w:val="24"/>
          <w:lang w:bidi="ar"/>
        </w:rPr>
      </w:pPr>
      <w:r>
        <w:rPr>
          <w:rFonts w:hint="eastAsia" w:ascii="Times New Roman" w:hAnsi="Times New Roman" w:eastAsia="宋体" w:cstheme="minorEastAsia"/>
          <w:snapToGrid w:val="0"/>
          <w:color w:val="auto"/>
          <w:kern w:val="0"/>
          <w:sz w:val="24"/>
          <w:lang w:bidi="ar"/>
        </w:rPr>
        <w:t>来自一个或多个来源的，提示药品与事件之间可能存在新的关联性或已知关联性出现变化，且有可能影响药品获益-风险平衡，有必要开展进一步评估的信息。</w:t>
      </w:r>
    </w:p>
    <w:p w14:paraId="1E5C86C3">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55" w:name="_Toc20358"/>
      <w:bookmarkStart w:id="456" w:name="_Toc5000"/>
      <w:bookmarkStart w:id="457" w:name="_Toc2185"/>
      <w:bookmarkStart w:id="458" w:name="_Toc10497"/>
      <w:bookmarkStart w:id="459" w:name="_Toc3373"/>
      <w:bookmarkStart w:id="460" w:name="_Toc8170"/>
      <w:bookmarkStart w:id="461" w:name="_Toc13553"/>
      <w:bookmarkStart w:id="462" w:name="_Toc7775"/>
      <w:bookmarkStart w:id="463" w:name="_Toc23912"/>
      <w:bookmarkStart w:id="464" w:name="_Toc24806"/>
      <w:bookmarkStart w:id="465" w:name="_Toc32399"/>
      <w:r>
        <w:rPr>
          <w:rFonts w:hint="eastAsia" w:ascii="Times New Roman" w:hAnsi="Times New Roman" w:eastAsia="宋体" w:cstheme="minorEastAsia"/>
          <w:b/>
          <w:bCs/>
          <w:snapToGrid w:val="0"/>
          <w:color w:val="auto"/>
          <w:kern w:val="0"/>
          <w:sz w:val="24"/>
          <w:lang w:bidi="ar"/>
        </w:rPr>
        <w:t>8.9 药物警戒</w:t>
      </w:r>
      <w:r>
        <w:rPr>
          <w:rFonts w:hint="eastAsia" w:ascii="Times New Roman" w:hAnsi="Times New Roman" w:eastAsia="宋体" w:cstheme="minorEastAsia"/>
          <w:snapToGrid w:val="0"/>
          <w:color w:val="auto"/>
          <w:kern w:val="0"/>
          <w:sz w:val="24"/>
          <w:lang w:bidi="ar"/>
        </w:rPr>
        <w:t>（Pharmacovigilance）</w:t>
      </w:r>
      <w:bookmarkEnd w:id="455"/>
      <w:bookmarkEnd w:id="456"/>
      <w:bookmarkEnd w:id="457"/>
      <w:bookmarkEnd w:id="458"/>
      <w:bookmarkEnd w:id="459"/>
      <w:bookmarkEnd w:id="460"/>
      <w:bookmarkEnd w:id="461"/>
      <w:bookmarkEnd w:id="462"/>
      <w:bookmarkEnd w:id="463"/>
      <w:bookmarkEnd w:id="464"/>
      <w:bookmarkEnd w:id="465"/>
    </w:p>
    <w:p w14:paraId="56DC269A">
      <w:pPr>
        <w:topLinePunct/>
        <w:adjustRightInd w:val="0"/>
        <w:snapToGrid w:val="0"/>
        <w:spacing w:line="360" w:lineRule="auto"/>
        <w:ind w:firstLine="480" w:firstLineChars="200"/>
        <w:rPr>
          <w:rFonts w:ascii="Times New Roman" w:hAnsi="Times New Roman" w:eastAsia="宋体" w:cs="宋体"/>
          <w:snapToGrid w:val="0"/>
          <w:color w:val="auto"/>
          <w:kern w:val="0"/>
          <w:sz w:val="24"/>
        </w:rPr>
      </w:pPr>
      <w:r>
        <w:rPr>
          <w:rFonts w:hint="eastAsia" w:ascii="Times New Roman" w:hAnsi="Times New Roman" w:eastAsia="宋体" w:cs="宋体"/>
          <w:snapToGrid w:val="0"/>
          <w:color w:val="auto"/>
          <w:kern w:val="0"/>
          <w:sz w:val="24"/>
        </w:rPr>
        <w:t>对</w:t>
      </w:r>
      <w:r>
        <w:rPr>
          <w:rFonts w:hint="eastAsia" w:ascii="Times New Roman" w:hAnsi="Times New Roman" w:eastAsia="宋体" w:cs="宋体"/>
          <w:snapToGrid w:val="0"/>
          <w:color w:val="auto"/>
          <w:kern w:val="0"/>
          <w:sz w:val="24"/>
          <w:lang w:eastAsia="zh-CN"/>
        </w:rPr>
        <w:t>A</w:t>
      </w:r>
      <w:r>
        <w:rPr>
          <w:rFonts w:hint="eastAsia" w:ascii="Times New Roman" w:hAnsi="Times New Roman" w:eastAsia="宋体" w:cs="宋体"/>
          <w:snapToGrid w:val="0"/>
          <w:color w:val="auto"/>
          <w:kern w:val="0"/>
          <w:sz w:val="24"/>
          <w:lang w:val="en-US" w:eastAsia="zh-CN"/>
        </w:rPr>
        <w:t>DR</w:t>
      </w:r>
      <w:r>
        <w:rPr>
          <w:rFonts w:hint="eastAsia" w:ascii="Times New Roman" w:hAnsi="Times New Roman" w:eastAsia="宋体" w:cs="宋体"/>
          <w:snapToGrid w:val="0"/>
          <w:color w:val="auto"/>
          <w:kern w:val="0"/>
          <w:sz w:val="24"/>
        </w:rPr>
        <w:t>及其他与用药有关的有害反应进行监测、识别、评估和控制。</w:t>
      </w:r>
    </w:p>
    <w:p w14:paraId="32101006">
      <w:pPr>
        <w:topLinePunct/>
        <w:adjustRightInd w:val="0"/>
        <w:snapToGrid w:val="0"/>
        <w:spacing w:line="360" w:lineRule="auto"/>
        <w:outlineLvl w:val="1"/>
        <w:rPr>
          <w:rFonts w:ascii="Times New Roman" w:hAnsi="Times New Roman" w:eastAsia="宋体" w:cstheme="minorEastAsia"/>
          <w:b/>
          <w:bCs/>
          <w:snapToGrid w:val="0"/>
          <w:color w:val="auto"/>
          <w:kern w:val="0"/>
          <w:sz w:val="24"/>
          <w:lang w:bidi="ar"/>
        </w:rPr>
      </w:pPr>
      <w:bookmarkStart w:id="466" w:name="_Toc11234"/>
      <w:bookmarkStart w:id="467" w:name="_Toc10651"/>
      <w:bookmarkStart w:id="468" w:name="_Toc6004"/>
      <w:bookmarkStart w:id="469" w:name="_Toc21055"/>
      <w:bookmarkStart w:id="470" w:name="_Toc16092"/>
      <w:bookmarkStart w:id="471" w:name="_Toc16077"/>
      <w:bookmarkStart w:id="472" w:name="_Toc26496"/>
      <w:bookmarkStart w:id="473" w:name="_Toc22145"/>
      <w:bookmarkStart w:id="474" w:name="_Toc14557"/>
      <w:bookmarkStart w:id="475" w:name="_Toc9056"/>
      <w:bookmarkStart w:id="476" w:name="_Toc27060"/>
      <w:r>
        <w:rPr>
          <w:rFonts w:hint="eastAsia" w:ascii="Times New Roman" w:hAnsi="Times New Roman" w:eastAsia="宋体" w:cstheme="minorEastAsia"/>
          <w:b/>
          <w:bCs/>
          <w:snapToGrid w:val="0"/>
          <w:color w:val="auto"/>
          <w:kern w:val="0"/>
          <w:sz w:val="24"/>
          <w:lang w:bidi="ar"/>
        </w:rPr>
        <w:t>8.10 药品上市后安全性研究</w:t>
      </w:r>
      <w:r>
        <w:rPr>
          <w:rFonts w:hint="eastAsia" w:ascii="Times New Roman" w:hAnsi="Times New Roman" w:eastAsia="宋体" w:cstheme="minorEastAsia"/>
          <w:snapToGrid w:val="0"/>
          <w:color w:val="auto"/>
          <w:kern w:val="0"/>
          <w:sz w:val="24"/>
          <w:lang w:bidi="ar"/>
        </w:rPr>
        <w:t>（</w:t>
      </w:r>
      <w:r>
        <w:rPr>
          <w:rStyle w:val="14"/>
          <w:rFonts w:hint="eastAsia" w:ascii="Times New Roman" w:hAnsi="Times New Roman" w:eastAsia="宋体" w:cstheme="minorEastAsia"/>
          <w:b w:val="0"/>
          <w:bCs w:val="0"/>
          <w:i w:val="0"/>
          <w:iCs w:val="0"/>
          <w:caps w:val="0"/>
          <w:snapToGrid w:val="0"/>
          <w:color w:val="auto"/>
          <w:spacing w:val="0"/>
          <w:kern w:val="0"/>
          <w:sz w:val="24"/>
          <w:szCs w:val="24"/>
          <w:shd w:val="clear" w:fill="FFFFFF"/>
          <w:vertAlign w:val="baseline"/>
          <w:lang w:bidi="ar"/>
        </w:rPr>
        <w:t>Post-</w:t>
      </w:r>
      <w:r>
        <w:rPr>
          <w:rStyle w:val="14"/>
          <w:rFonts w:hint="eastAsia" w:ascii="Times New Roman" w:hAnsi="Times New Roman" w:eastAsia="宋体" w:cstheme="minorEastAsia"/>
          <w:b w:val="0"/>
          <w:bCs w:val="0"/>
          <w:i w:val="0"/>
          <w:iCs w:val="0"/>
          <w:caps w:val="0"/>
          <w:snapToGrid w:val="0"/>
          <w:color w:val="auto"/>
          <w:spacing w:val="0"/>
          <w:kern w:val="0"/>
          <w:sz w:val="24"/>
          <w:szCs w:val="24"/>
          <w:shd w:val="clear" w:fill="FFFFFF"/>
          <w:vertAlign w:val="baseline"/>
          <w:lang w:val="en-US" w:eastAsia="zh-CN" w:bidi="ar"/>
        </w:rPr>
        <w:t>Authorization</w:t>
      </w:r>
      <w:r>
        <w:rPr>
          <w:rStyle w:val="14"/>
          <w:rFonts w:hint="eastAsia" w:ascii="Times New Roman" w:hAnsi="Times New Roman" w:eastAsia="宋体" w:cstheme="minorEastAsia"/>
          <w:b w:val="0"/>
          <w:bCs w:val="0"/>
          <w:i w:val="0"/>
          <w:iCs w:val="0"/>
          <w:caps w:val="0"/>
          <w:snapToGrid w:val="0"/>
          <w:color w:val="auto"/>
          <w:spacing w:val="0"/>
          <w:kern w:val="0"/>
          <w:sz w:val="24"/>
          <w:szCs w:val="24"/>
          <w:shd w:val="clear" w:fill="FFFFFF"/>
          <w:vertAlign w:val="baseline"/>
          <w:lang w:bidi="ar"/>
        </w:rPr>
        <w:t xml:space="preserve"> Safety Stud</w:t>
      </w:r>
      <w:r>
        <w:rPr>
          <w:rStyle w:val="14"/>
          <w:rFonts w:hint="eastAsia" w:ascii="Times New Roman" w:hAnsi="Times New Roman" w:eastAsia="宋体" w:cstheme="minorEastAsia"/>
          <w:b w:val="0"/>
          <w:bCs w:val="0"/>
          <w:i w:val="0"/>
          <w:iCs w:val="0"/>
          <w:caps w:val="0"/>
          <w:snapToGrid w:val="0"/>
          <w:color w:val="auto"/>
          <w:spacing w:val="0"/>
          <w:kern w:val="0"/>
          <w:sz w:val="24"/>
          <w:szCs w:val="24"/>
          <w:shd w:val="clear" w:fill="FFFFFF"/>
          <w:vertAlign w:val="baseline"/>
          <w:lang w:val="en-US" w:eastAsia="zh-CN" w:bidi="ar"/>
        </w:rPr>
        <w:t>y</w:t>
      </w:r>
      <w:r>
        <w:rPr>
          <w:rFonts w:hint="eastAsia" w:ascii="Times New Roman" w:hAnsi="Times New Roman" w:eastAsia="宋体" w:cstheme="minorEastAsia"/>
          <w:snapToGrid w:val="0"/>
          <w:color w:val="auto"/>
          <w:kern w:val="0"/>
          <w:sz w:val="24"/>
          <w:lang w:bidi="ar"/>
        </w:rPr>
        <w:t>）</w:t>
      </w:r>
      <w:bookmarkEnd w:id="466"/>
      <w:bookmarkEnd w:id="467"/>
      <w:bookmarkEnd w:id="468"/>
      <w:bookmarkEnd w:id="469"/>
      <w:bookmarkEnd w:id="470"/>
      <w:bookmarkEnd w:id="471"/>
      <w:bookmarkEnd w:id="472"/>
      <w:bookmarkEnd w:id="473"/>
      <w:bookmarkEnd w:id="474"/>
      <w:bookmarkEnd w:id="475"/>
      <w:bookmarkEnd w:id="476"/>
    </w:p>
    <w:p w14:paraId="4CD555EB">
      <w:pPr>
        <w:topLinePunct/>
        <w:adjustRightInd w:val="0"/>
        <w:snapToGrid w:val="0"/>
        <w:spacing w:line="360" w:lineRule="auto"/>
        <w:ind w:firstLine="480" w:firstLineChars="200"/>
        <w:rPr>
          <w:rFonts w:ascii="Times New Roman" w:hAnsi="Times New Roman" w:eastAsia="宋体" w:cs="宋体"/>
          <w:snapToGrid w:val="0"/>
          <w:color w:val="auto"/>
          <w:kern w:val="0"/>
          <w:sz w:val="24"/>
        </w:rPr>
      </w:pPr>
      <w:r>
        <w:rPr>
          <w:rFonts w:hint="eastAsia" w:ascii="Times New Roman" w:hAnsi="Times New Roman" w:eastAsia="宋体" w:cs="宋体"/>
          <w:snapToGrid w:val="0"/>
          <w:color w:val="auto"/>
          <w:kern w:val="0"/>
          <w:sz w:val="24"/>
        </w:rPr>
        <w:t>药品上市后开展的以识别、定性或定量描述药品安全风险，研究药品安全性特征，以及评估风险控制措施实施效果为目的的研究。</w:t>
      </w:r>
    </w:p>
    <w:p w14:paraId="611F262A">
      <w:pPr>
        <w:topLinePunct/>
        <w:adjustRightInd w:val="0"/>
        <w:snapToGrid w:val="0"/>
        <w:spacing w:line="360" w:lineRule="auto"/>
        <w:outlineLvl w:val="1"/>
        <w:rPr>
          <w:rFonts w:ascii="Times New Roman" w:hAnsi="Times New Roman" w:eastAsia="宋体" w:cstheme="minorEastAsia"/>
          <w:snapToGrid w:val="0"/>
          <w:color w:val="auto"/>
          <w:kern w:val="0"/>
          <w:sz w:val="24"/>
          <w:lang w:bidi="ar"/>
        </w:rPr>
      </w:pPr>
      <w:bookmarkStart w:id="477" w:name="_Toc20361"/>
      <w:bookmarkStart w:id="478" w:name="_Toc16685"/>
      <w:bookmarkStart w:id="479" w:name="_Toc1184"/>
      <w:bookmarkStart w:id="480" w:name="_Toc24347"/>
      <w:bookmarkStart w:id="481" w:name="_Toc26277"/>
      <w:bookmarkStart w:id="482" w:name="_Toc6425"/>
      <w:bookmarkStart w:id="483" w:name="_Toc22761"/>
      <w:bookmarkStart w:id="484" w:name="_Toc16280"/>
      <w:bookmarkStart w:id="485" w:name="_Toc27650"/>
      <w:bookmarkStart w:id="486" w:name="_Toc2966"/>
      <w:bookmarkStart w:id="487" w:name="_Toc12408"/>
      <w:r>
        <w:rPr>
          <w:rFonts w:hint="eastAsia" w:ascii="Times New Roman" w:hAnsi="Times New Roman" w:eastAsia="宋体" w:cstheme="minorEastAsia"/>
          <w:b/>
          <w:bCs/>
          <w:snapToGrid w:val="0"/>
          <w:color w:val="auto"/>
          <w:kern w:val="0"/>
          <w:sz w:val="24"/>
          <w:lang w:bidi="ar"/>
        </w:rPr>
        <w:t xml:space="preserve">8.11 </w:t>
      </w:r>
      <w:r>
        <w:rPr>
          <w:rFonts w:ascii="Times New Roman" w:hAnsi="Times New Roman" w:eastAsia="宋体" w:cstheme="minorEastAsia"/>
          <w:b/>
          <w:bCs/>
          <w:snapToGrid w:val="0"/>
          <w:color w:val="auto"/>
          <w:kern w:val="0"/>
          <w:sz w:val="24"/>
          <w:lang w:bidi="ar"/>
        </w:rPr>
        <w:t>其他观察</w:t>
      </w:r>
      <w:r>
        <w:rPr>
          <w:rFonts w:hint="eastAsia" w:ascii="Times New Roman" w:hAnsi="Times New Roman" w:eastAsia="宋体" w:cstheme="minorEastAsia"/>
          <w:snapToGrid w:val="0"/>
          <w:color w:val="auto"/>
          <w:kern w:val="0"/>
          <w:sz w:val="24"/>
          <w:lang w:bidi="ar"/>
        </w:rPr>
        <w:t>（</w:t>
      </w:r>
      <w:r>
        <w:rPr>
          <w:rFonts w:ascii="Times New Roman" w:hAnsi="Times New Roman" w:eastAsia="宋体" w:cstheme="minorEastAsia"/>
          <w:snapToGrid w:val="0"/>
          <w:color w:val="auto"/>
          <w:kern w:val="0"/>
          <w:sz w:val="24"/>
          <w:lang w:bidi="ar"/>
        </w:rPr>
        <w:t>Other Observations</w:t>
      </w:r>
      <w:r>
        <w:rPr>
          <w:rFonts w:hint="eastAsia" w:ascii="Times New Roman" w:hAnsi="Times New Roman" w:eastAsia="宋体" w:cstheme="minorEastAsia"/>
          <w:snapToGrid w:val="0"/>
          <w:color w:val="auto"/>
          <w:kern w:val="0"/>
          <w:sz w:val="24"/>
          <w:lang w:bidi="ar"/>
        </w:rPr>
        <w:t>）</w:t>
      </w:r>
      <w:bookmarkEnd w:id="477"/>
      <w:bookmarkEnd w:id="478"/>
      <w:bookmarkEnd w:id="479"/>
      <w:bookmarkEnd w:id="480"/>
      <w:bookmarkEnd w:id="481"/>
      <w:bookmarkEnd w:id="482"/>
      <w:bookmarkEnd w:id="483"/>
      <w:bookmarkEnd w:id="484"/>
      <w:bookmarkEnd w:id="485"/>
      <w:bookmarkEnd w:id="486"/>
      <w:bookmarkEnd w:id="487"/>
    </w:p>
    <w:p w14:paraId="31BAF063">
      <w:pPr>
        <w:wordWrap w:val="0"/>
        <w:topLinePunct/>
        <w:adjustRightInd w:val="0"/>
        <w:snapToGrid w:val="0"/>
        <w:spacing w:beforeAutospacing="0" w:after="160" w:afterAutospacing="0"/>
        <w:ind w:left="420" w:right="108" w:firstLine="480" w:firstLineChars="200"/>
        <w:jc w:val="both"/>
        <w:rPr>
          <w:rFonts w:ascii="Times New Roman" w:hAnsi="Times New Roman" w:eastAsia="宋体" w:cstheme="minorBidi"/>
          <w:snapToGrid w:val="0"/>
          <w:color w:val="auto"/>
          <w:sz w:val="21"/>
        </w:rPr>
      </w:pPr>
      <w:r>
        <w:rPr>
          <w:rFonts w:ascii="Times New Roman" w:hAnsi="Times New Roman" w:eastAsia="宋体" w:cs="宋体"/>
          <w:snapToGrid w:val="0"/>
          <w:color w:val="auto"/>
          <w:kern w:val="0"/>
          <w:sz w:val="24"/>
        </w:rPr>
        <w:t>是指与药物使用相关的某些情况，包括妊娠/哺乳期使用；缺乏疗效；药物过量、滥用、误用、用药错误、职业暴露；以及超说明书使用。在某些情况下，</w:t>
      </w:r>
      <w:r>
        <w:rPr>
          <w:rFonts w:hint="eastAsia" w:ascii="Times New Roman" w:hAnsi="Times New Roman" w:eastAsia="宋体" w:cs="宋体"/>
          <w:snapToGrid w:val="0"/>
          <w:color w:val="auto"/>
          <w:kern w:val="0"/>
          <w:sz w:val="24"/>
        </w:rPr>
        <w:t>“</w:t>
      </w:r>
      <w:r>
        <w:rPr>
          <w:rFonts w:ascii="Times New Roman" w:hAnsi="Times New Roman" w:eastAsia="宋体" w:cs="宋体"/>
          <w:snapToGrid w:val="0"/>
          <w:color w:val="auto"/>
          <w:kern w:val="0"/>
          <w:sz w:val="24"/>
        </w:rPr>
        <w:t>其他观察</w:t>
      </w:r>
      <w:r>
        <w:rPr>
          <w:rFonts w:hint="eastAsia" w:ascii="Times New Roman" w:hAnsi="Times New Roman" w:eastAsia="宋体" w:cs="宋体"/>
          <w:snapToGrid w:val="0"/>
          <w:color w:val="auto"/>
          <w:kern w:val="0"/>
          <w:sz w:val="24"/>
        </w:rPr>
        <w:t>”</w:t>
      </w:r>
      <w:r>
        <w:rPr>
          <w:rFonts w:ascii="Times New Roman" w:hAnsi="Times New Roman" w:eastAsia="宋体" w:cs="宋体"/>
          <w:snapToGrid w:val="0"/>
          <w:color w:val="auto"/>
          <w:kern w:val="0"/>
          <w:sz w:val="24"/>
        </w:rPr>
        <w:t>可能不伴有任何</w:t>
      </w:r>
      <w:r>
        <w:rPr>
          <w:rFonts w:hint="eastAsia" w:ascii="Times New Roman" w:hAnsi="Times New Roman" w:eastAsia="宋体" w:cs="宋体"/>
          <w:snapToGrid w:val="0"/>
          <w:color w:val="auto"/>
          <w:kern w:val="0"/>
          <w:sz w:val="24"/>
        </w:rPr>
        <w:t>药品不良反应/事件</w:t>
      </w:r>
      <w:r>
        <w:rPr>
          <w:rFonts w:ascii="Times New Roman" w:hAnsi="Times New Roman" w:eastAsia="宋体" w:cs="宋体"/>
          <w:snapToGrid w:val="0"/>
          <w:color w:val="auto"/>
          <w:kern w:val="0"/>
          <w:sz w:val="24"/>
        </w:rPr>
        <w:t>，在另一些情况下，也可能伴有</w:t>
      </w:r>
      <w:r>
        <w:rPr>
          <w:rFonts w:hint="eastAsia" w:ascii="Times New Roman" w:hAnsi="Times New Roman" w:eastAsia="宋体" w:cs="宋体"/>
          <w:snapToGrid w:val="0"/>
          <w:color w:val="auto"/>
          <w:kern w:val="0"/>
          <w:sz w:val="24"/>
        </w:rPr>
        <w:t>药品不良反应/事件</w:t>
      </w:r>
      <w:r>
        <w:rPr>
          <w:rFonts w:ascii="Times New Roman" w:hAnsi="Times New Roman" w:eastAsia="宋体" w:cs="宋体"/>
          <w:snapToGrid w:val="0"/>
          <w:color w:val="auto"/>
          <w:kern w:val="0"/>
          <w:sz w:val="24"/>
        </w:rPr>
        <w:t>。</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1EA53">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BC14F">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5BBC14F">
                    <w:pPr>
                      <w:pStyle w:val="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B4175">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3A9FF">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763A9FF">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532"/>
    <w:rsid w:val="00032840"/>
    <w:rsid w:val="00046CA0"/>
    <w:rsid w:val="00083E05"/>
    <w:rsid w:val="000942B7"/>
    <w:rsid w:val="000D6AD1"/>
    <w:rsid w:val="000F6E01"/>
    <w:rsid w:val="001570FF"/>
    <w:rsid w:val="00174C42"/>
    <w:rsid w:val="001C06F5"/>
    <w:rsid w:val="002029ED"/>
    <w:rsid w:val="00263DDF"/>
    <w:rsid w:val="00285085"/>
    <w:rsid w:val="00296707"/>
    <w:rsid w:val="002A38CF"/>
    <w:rsid w:val="0031450F"/>
    <w:rsid w:val="00337586"/>
    <w:rsid w:val="00352F84"/>
    <w:rsid w:val="003B2860"/>
    <w:rsid w:val="003F5F2A"/>
    <w:rsid w:val="00450055"/>
    <w:rsid w:val="00481DEF"/>
    <w:rsid w:val="00533E82"/>
    <w:rsid w:val="005714C6"/>
    <w:rsid w:val="00580B4F"/>
    <w:rsid w:val="005A0FB6"/>
    <w:rsid w:val="005E2900"/>
    <w:rsid w:val="00623991"/>
    <w:rsid w:val="0068396A"/>
    <w:rsid w:val="00726B4F"/>
    <w:rsid w:val="00822C03"/>
    <w:rsid w:val="00846033"/>
    <w:rsid w:val="00877F19"/>
    <w:rsid w:val="00880DB1"/>
    <w:rsid w:val="008C6532"/>
    <w:rsid w:val="008F6EB2"/>
    <w:rsid w:val="00946676"/>
    <w:rsid w:val="00990C6D"/>
    <w:rsid w:val="00993BDB"/>
    <w:rsid w:val="009C512B"/>
    <w:rsid w:val="009F2E6D"/>
    <w:rsid w:val="00A03135"/>
    <w:rsid w:val="00A3295D"/>
    <w:rsid w:val="00A34F47"/>
    <w:rsid w:val="00A83AD0"/>
    <w:rsid w:val="00A85262"/>
    <w:rsid w:val="00A8605D"/>
    <w:rsid w:val="00AA59C5"/>
    <w:rsid w:val="00AB20C0"/>
    <w:rsid w:val="00AE4E5E"/>
    <w:rsid w:val="00B436F4"/>
    <w:rsid w:val="00C03F1E"/>
    <w:rsid w:val="00C60B12"/>
    <w:rsid w:val="00CF5500"/>
    <w:rsid w:val="00D02373"/>
    <w:rsid w:val="00D2088E"/>
    <w:rsid w:val="00D41356"/>
    <w:rsid w:val="00D9637F"/>
    <w:rsid w:val="00E436CC"/>
    <w:rsid w:val="00ED1E2A"/>
    <w:rsid w:val="00EF0D3F"/>
    <w:rsid w:val="00F7522E"/>
    <w:rsid w:val="00F97AC4"/>
    <w:rsid w:val="00FA3FCB"/>
    <w:rsid w:val="00FE5DE6"/>
    <w:rsid w:val="01001B5E"/>
    <w:rsid w:val="010158D6"/>
    <w:rsid w:val="01057174"/>
    <w:rsid w:val="0114678C"/>
    <w:rsid w:val="0127533C"/>
    <w:rsid w:val="012A4E2C"/>
    <w:rsid w:val="01347A59"/>
    <w:rsid w:val="013C3257"/>
    <w:rsid w:val="013D290D"/>
    <w:rsid w:val="01521C8D"/>
    <w:rsid w:val="01565C22"/>
    <w:rsid w:val="015974C0"/>
    <w:rsid w:val="01675739"/>
    <w:rsid w:val="0176597C"/>
    <w:rsid w:val="018362EB"/>
    <w:rsid w:val="01AA1AC9"/>
    <w:rsid w:val="01B3097E"/>
    <w:rsid w:val="01B34E22"/>
    <w:rsid w:val="01B36BD0"/>
    <w:rsid w:val="01B42948"/>
    <w:rsid w:val="01B6046E"/>
    <w:rsid w:val="01B91D0C"/>
    <w:rsid w:val="01C42B8B"/>
    <w:rsid w:val="01CF0D89"/>
    <w:rsid w:val="01E66FA5"/>
    <w:rsid w:val="01EE7C08"/>
    <w:rsid w:val="01F82835"/>
    <w:rsid w:val="01FF5D8A"/>
    <w:rsid w:val="02103BC2"/>
    <w:rsid w:val="021B6523"/>
    <w:rsid w:val="0229022E"/>
    <w:rsid w:val="022950E4"/>
    <w:rsid w:val="02421D02"/>
    <w:rsid w:val="024F36AF"/>
    <w:rsid w:val="0250441F"/>
    <w:rsid w:val="025E2B68"/>
    <w:rsid w:val="026C6D7F"/>
    <w:rsid w:val="02900CBF"/>
    <w:rsid w:val="029E162E"/>
    <w:rsid w:val="02A604E3"/>
    <w:rsid w:val="02AD3B9E"/>
    <w:rsid w:val="02AD7AC3"/>
    <w:rsid w:val="02B56978"/>
    <w:rsid w:val="02B96468"/>
    <w:rsid w:val="02BE582C"/>
    <w:rsid w:val="02C1356F"/>
    <w:rsid w:val="02CD1F13"/>
    <w:rsid w:val="02DC2156"/>
    <w:rsid w:val="02F51BA1"/>
    <w:rsid w:val="02F54FC6"/>
    <w:rsid w:val="02FE20CD"/>
    <w:rsid w:val="02FF1990"/>
    <w:rsid w:val="03237D85"/>
    <w:rsid w:val="032A4C70"/>
    <w:rsid w:val="0332621A"/>
    <w:rsid w:val="03351867"/>
    <w:rsid w:val="033B6E7D"/>
    <w:rsid w:val="034675D0"/>
    <w:rsid w:val="034A3564"/>
    <w:rsid w:val="034E3158"/>
    <w:rsid w:val="0361265C"/>
    <w:rsid w:val="03C01FEA"/>
    <w:rsid w:val="03C70711"/>
    <w:rsid w:val="03E37F54"/>
    <w:rsid w:val="03E7487E"/>
    <w:rsid w:val="03E901C0"/>
    <w:rsid w:val="03EE2141"/>
    <w:rsid w:val="03F744C3"/>
    <w:rsid w:val="0405748B"/>
    <w:rsid w:val="040F3E66"/>
    <w:rsid w:val="041C009B"/>
    <w:rsid w:val="0431202E"/>
    <w:rsid w:val="043833BC"/>
    <w:rsid w:val="0442248D"/>
    <w:rsid w:val="044C6E68"/>
    <w:rsid w:val="0471373D"/>
    <w:rsid w:val="0477008E"/>
    <w:rsid w:val="04926F71"/>
    <w:rsid w:val="04930218"/>
    <w:rsid w:val="04937B6A"/>
    <w:rsid w:val="049D20AA"/>
    <w:rsid w:val="04A40A52"/>
    <w:rsid w:val="04B54A0D"/>
    <w:rsid w:val="04BA0275"/>
    <w:rsid w:val="04BA64C7"/>
    <w:rsid w:val="04C335CE"/>
    <w:rsid w:val="04C84286"/>
    <w:rsid w:val="04CE3D21"/>
    <w:rsid w:val="04E62E18"/>
    <w:rsid w:val="04F419D9"/>
    <w:rsid w:val="04F55751"/>
    <w:rsid w:val="04FC6AE0"/>
    <w:rsid w:val="05094D59"/>
    <w:rsid w:val="050A6C0A"/>
    <w:rsid w:val="050B2FCD"/>
    <w:rsid w:val="051756C8"/>
    <w:rsid w:val="051E6A56"/>
    <w:rsid w:val="052B1173"/>
    <w:rsid w:val="053C512E"/>
    <w:rsid w:val="053D01B1"/>
    <w:rsid w:val="053E7324"/>
    <w:rsid w:val="053F6FB9"/>
    <w:rsid w:val="05504736"/>
    <w:rsid w:val="055204AE"/>
    <w:rsid w:val="05595CE0"/>
    <w:rsid w:val="0563090D"/>
    <w:rsid w:val="05681A7F"/>
    <w:rsid w:val="05706B86"/>
    <w:rsid w:val="05740424"/>
    <w:rsid w:val="05790131"/>
    <w:rsid w:val="057A17B3"/>
    <w:rsid w:val="057B5C57"/>
    <w:rsid w:val="05900FD6"/>
    <w:rsid w:val="059960DD"/>
    <w:rsid w:val="05B11678"/>
    <w:rsid w:val="05B2719F"/>
    <w:rsid w:val="05B922DB"/>
    <w:rsid w:val="05C26DA0"/>
    <w:rsid w:val="05CF5FA2"/>
    <w:rsid w:val="05D0666E"/>
    <w:rsid w:val="05D47115"/>
    <w:rsid w:val="05D610DF"/>
    <w:rsid w:val="05D67331"/>
    <w:rsid w:val="05E7509A"/>
    <w:rsid w:val="05E857EE"/>
    <w:rsid w:val="05EA06E6"/>
    <w:rsid w:val="05F17CC7"/>
    <w:rsid w:val="06021ED4"/>
    <w:rsid w:val="060F639F"/>
    <w:rsid w:val="06190FCC"/>
    <w:rsid w:val="0629505E"/>
    <w:rsid w:val="063127B9"/>
    <w:rsid w:val="0635691E"/>
    <w:rsid w:val="063858F6"/>
    <w:rsid w:val="0639341C"/>
    <w:rsid w:val="0644652B"/>
    <w:rsid w:val="06450013"/>
    <w:rsid w:val="064A12E8"/>
    <w:rsid w:val="064C3C08"/>
    <w:rsid w:val="065C0B2C"/>
    <w:rsid w:val="066E57BB"/>
    <w:rsid w:val="067D155B"/>
    <w:rsid w:val="068723D9"/>
    <w:rsid w:val="06935222"/>
    <w:rsid w:val="06952D48"/>
    <w:rsid w:val="06954AF6"/>
    <w:rsid w:val="06AB60C8"/>
    <w:rsid w:val="06B34F7C"/>
    <w:rsid w:val="06B807E5"/>
    <w:rsid w:val="06BA455D"/>
    <w:rsid w:val="06C62F02"/>
    <w:rsid w:val="06CD24E2"/>
    <w:rsid w:val="06D03D80"/>
    <w:rsid w:val="06D91191"/>
    <w:rsid w:val="06DF3FC3"/>
    <w:rsid w:val="06F16DB8"/>
    <w:rsid w:val="06FD3ECB"/>
    <w:rsid w:val="07035F04"/>
    <w:rsid w:val="07091040"/>
    <w:rsid w:val="07302A71"/>
    <w:rsid w:val="073C1416"/>
    <w:rsid w:val="073F0F06"/>
    <w:rsid w:val="074F739B"/>
    <w:rsid w:val="07520C39"/>
    <w:rsid w:val="075A5473"/>
    <w:rsid w:val="075B5D40"/>
    <w:rsid w:val="07743C52"/>
    <w:rsid w:val="077E1A2E"/>
    <w:rsid w:val="07887876"/>
    <w:rsid w:val="07893F2F"/>
    <w:rsid w:val="078F59E9"/>
    <w:rsid w:val="07927288"/>
    <w:rsid w:val="07966D78"/>
    <w:rsid w:val="07AD2313"/>
    <w:rsid w:val="07B01248"/>
    <w:rsid w:val="07D07AAD"/>
    <w:rsid w:val="07D57174"/>
    <w:rsid w:val="07DE24CD"/>
    <w:rsid w:val="07E21F88"/>
    <w:rsid w:val="07EC6998"/>
    <w:rsid w:val="08147C9D"/>
    <w:rsid w:val="081B102B"/>
    <w:rsid w:val="08251EAA"/>
    <w:rsid w:val="082F0F7A"/>
    <w:rsid w:val="08326375"/>
    <w:rsid w:val="08500AAC"/>
    <w:rsid w:val="0850534E"/>
    <w:rsid w:val="08547FD6"/>
    <w:rsid w:val="08585DDB"/>
    <w:rsid w:val="08587C60"/>
    <w:rsid w:val="085B1B32"/>
    <w:rsid w:val="08640C24"/>
    <w:rsid w:val="086C7AD9"/>
    <w:rsid w:val="08752E31"/>
    <w:rsid w:val="087D1CE6"/>
    <w:rsid w:val="088C1F29"/>
    <w:rsid w:val="0898267C"/>
    <w:rsid w:val="089D4136"/>
    <w:rsid w:val="08A63489"/>
    <w:rsid w:val="08AA0F48"/>
    <w:rsid w:val="08BB45BC"/>
    <w:rsid w:val="08BD20E2"/>
    <w:rsid w:val="08BF5E5A"/>
    <w:rsid w:val="08C711B3"/>
    <w:rsid w:val="08D4742C"/>
    <w:rsid w:val="08D833C0"/>
    <w:rsid w:val="08F024B8"/>
    <w:rsid w:val="08F57ACE"/>
    <w:rsid w:val="08F85810"/>
    <w:rsid w:val="08F875BE"/>
    <w:rsid w:val="08FA6E92"/>
    <w:rsid w:val="093305F6"/>
    <w:rsid w:val="093323A4"/>
    <w:rsid w:val="09510A7C"/>
    <w:rsid w:val="09616F12"/>
    <w:rsid w:val="096D58B6"/>
    <w:rsid w:val="09762FA7"/>
    <w:rsid w:val="09774987"/>
    <w:rsid w:val="09815806"/>
    <w:rsid w:val="09866978"/>
    <w:rsid w:val="098B3F8E"/>
    <w:rsid w:val="09954E0D"/>
    <w:rsid w:val="09963D3D"/>
    <w:rsid w:val="099866AB"/>
    <w:rsid w:val="09992B4F"/>
    <w:rsid w:val="09B40410"/>
    <w:rsid w:val="09B74D83"/>
    <w:rsid w:val="09BE201B"/>
    <w:rsid w:val="09C53944"/>
    <w:rsid w:val="09C556F2"/>
    <w:rsid w:val="09D92F4C"/>
    <w:rsid w:val="09F71624"/>
    <w:rsid w:val="0A06733D"/>
    <w:rsid w:val="0A1977EC"/>
    <w:rsid w:val="0A1E4E03"/>
    <w:rsid w:val="0A2226F7"/>
    <w:rsid w:val="0A2F0DBE"/>
    <w:rsid w:val="0A326B00"/>
    <w:rsid w:val="0A46797C"/>
    <w:rsid w:val="0A4D56E8"/>
    <w:rsid w:val="0A5151D8"/>
    <w:rsid w:val="0A652A31"/>
    <w:rsid w:val="0A782765"/>
    <w:rsid w:val="0A7964DD"/>
    <w:rsid w:val="0A83110A"/>
    <w:rsid w:val="0A850353"/>
    <w:rsid w:val="0A852F24"/>
    <w:rsid w:val="0A886AA2"/>
    <w:rsid w:val="0A917CCA"/>
    <w:rsid w:val="0A96708F"/>
    <w:rsid w:val="0A9F23E7"/>
    <w:rsid w:val="0AAC60CF"/>
    <w:rsid w:val="0AC260D6"/>
    <w:rsid w:val="0AC37758"/>
    <w:rsid w:val="0AD876A7"/>
    <w:rsid w:val="0ADA341F"/>
    <w:rsid w:val="0AE778EA"/>
    <w:rsid w:val="0AFB5144"/>
    <w:rsid w:val="0AFD710E"/>
    <w:rsid w:val="0B04128E"/>
    <w:rsid w:val="0B064214"/>
    <w:rsid w:val="0B0C10FF"/>
    <w:rsid w:val="0B1306DF"/>
    <w:rsid w:val="0B183F48"/>
    <w:rsid w:val="0B381EF4"/>
    <w:rsid w:val="0B3B3792"/>
    <w:rsid w:val="0B4B3CD1"/>
    <w:rsid w:val="0B521208"/>
    <w:rsid w:val="0B552AA6"/>
    <w:rsid w:val="0B597A11"/>
    <w:rsid w:val="0B5E5DFE"/>
    <w:rsid w:val="0B5F1B77"/>
    <w:rsid w:val="0B5F56D3"/>
    <w:rsid w:val="0B621DFD"/>
    <w:rsid w:val="0B674BE6"/>
    <w:rsid w:val="0B6A36D6"/>
    <w:rsid w:val="0B7218AA"/>
    <w:rsid w:val="0B7A42BB"/>
    <w:rsid w:val="0B865355"/>
    <w:rsid w:val="0B8E5FB8"/>
    <w:rsid w:val="0BAE0942"/>
    <w:rsid w:val="0BB2614A"/>
    <w:rsid w:val="0BBA0B5B"/>
    <w:rsid w:val="0BCB0ECE"/>
    <w:rsid w:val="0BDC70EB"/>
    <w:rsid w:val="0BE107DE"/>
    <w:rsid w:val="0BE65DF4"/>
    <w:rsid w:val="0BEA7692"/>
    <w:rsid w:val="0BEB340A"/>
    <w:rsid w:val="0BFA0B59"/>
    <w:rsid w:val="0BFC1173"/>
    <w:rsid w:val="0C006EB6"/>
    <w:rsid w:val="0C05627A"/>
    <w:rsid w:val="0C1E733C"/>
    <w:rsid w:val="0C2A7A8F"/>
    <w:rsid w:val="0C37664F"/>
    <w:rsid w:val="0C3B7EEE"/>
    <w:rsid w:val="0C3E353A"/>
    <w:rsid w:val="0C403756"/>
    <w:rsid w:val="0C525237"/>
    <w:rsid w:val="0C554E4C"/>
    <w:rsid w:val="0C5D2346"/>
    <w:rsid w:val="0C5D60B6"/>
    <w:rsid w:val="0C61547A"/>
    <w:rsid w:val="0C676F35"/>
    <w:rsid w:val="0C692CAD"/>
    <w:rsid w:val="0C807E08"/>
    <w:rsid w:val="0C8353F1"/>
    <w:rsid w:val="0C863C7A"/>
    <w:rsid w:val="0C8C17DB"/>
    <w:rsid w:val="0C9738D4"/>
    <w:rsid w:val="0C9B6BDE"/>
    <w:rsid w:val="0C9F66CF"/>
    <w:rsid w:val="0CA23AC9"/>
    <w:rsid w:val="0CB8153E"/>
    <w:rsid w:val="0CF34325"/>
    <w:rsid w:val="0CFF0F1B"/>
    <w:rsid w:val="0D1424ED"/>
    <w:rsid w:val="0D1C7D1F"/>
    <w:rsid w:val="0D2E019B"/>
    <w:rsid w:val="0D2E1801"/>
    <w:rsid w:val="0D2F786C"/>
    <w:rsid w:val="0D307327"/>
    <w:rsid w:val="0D3D5EE8"/>
    <w:rsid w:val="0D4F4AE4"/>
    <w:rsid w:val="0D562B05"/>
    <w:rsid w:val="0D570D57"/>
    <w:rsid w:val="0D5D20E6"/>
    <w:rsid w:val="0D63594E"/>
    <w:rsid w:val="0D646FD0"/>
    <w:rsid w:val="0D6D4F83"/>
    <w:rsid w:val="0D70724F"/>
    <w:rsid w:val="0D7A11E1"/>
    <w:rsid w:val="0D821B4C"/>
    <w:rsid w:val="0DB22432"/>
    <w:rsid w:val="0DB25F8E"/>
    <w:rsid w:val="0DB6757B"/>
    <w:rsid w:val="0DC0318D"/>
    <w:rsid w:val="0DC161D1"/>
    <w:rsid w:val="0DC932D7"/>
    <w:rsid w:val="0DCB34F3"/>
    <w:rsid w:val="0DDA1988"/>
    <w:rsid w:val="0DDA308D"/>
    <w:rsid w:val="0DDC74AE"/>
    <w:rsid w:val="0DF742E8"/>
    <w:rsid w:val="0DFE7425"/>
    <w:rsid w:val="0E0530C9"/>
    <w:rsid w:val="0E0662D9"/>
    <w:rsid w:val="0E0A5DCA"/>
    <w:rsid w:val="0E2055ED"/>
    <w:rsid w:val="0E236E8B"/>
    <w:rsid w:val="0E2A021A"/>
    <w:rsid w:val="0E40055C"/>
    <w:rsid w:val="0E407A3D"/>
    <w:rsid w:val="0E4B63E2"/>
    <w:rsid w:val="0E511C4A"/>
    <w:rsid w:val="0E5928AD"/>
    <w:rsid w:val="0E5D6FB7"/>
    <w:rsid w:val="0E682AF0"/>
    <w:rsid w:val="0E6B25E0"/>
    <w:rsid w:val="0E7771D7"/>
    <w:rsid w:val="0E821C25"/>
    <w:rsid w:val="0E8518F4"/>
    <w:rsid w:val="0E8A6F0A"/>
    <w:rsid w:val="0E9B4C74"/>
    <w:rsid w:val="0EAE0E4B"/>
    <w:rsid w:val="0EBE6BB4"/>
    <w:rsid w:val="0EC817E1"/>
    <w:rsid w:val="0EC87A33"/>
    <w:rsid w:val="0EC95C85"/>
    <w:rsid w:val="0EE04D7C"/>
    <w:rsid w:val="0EE7435D"/>
    <w:rsid w:val="0EEE7499"/>
    <w:rsid w:val="0F000F7B"/>
    <w:rsid w:val="0F026AA1"/>
    <w:rsid w:val="0F031129"/>
    <w:rsid w:val="0F0C5B71"/>
    <w:rsid w:val="0F1F58A5"/>
    <w:rsid w:val="0F225395"/>
    <w:rsid w:val="0F3B0205"/>
    <w:rsid w:val="0F3F5F47"/>
    <w:rsid w:val="0F40581B"/>
    <w:rsid w:val="0F4470B9"/>
    <w:rsid w:val="0F4B669A"/>
    <w:rsid w:val="0F5059CD"/>
    <w:rsid w:val="0F5337A0"/>
    <w:rsid w:val="0F5D461F"/>
    <w:rsid w:val="0F7200CA"/>
    <w:rsid w:val="0F7554C5"/>
    <w:rsid w:val="0F8A6A96"/>
    <w:rsid w:val="0F8E6586"/>
    <w:rsid w:val="0F953DB9"/>
    <w:rsid w:val="0FA91612"/>
    <w:rsid w:val="0FA9787D"/>
    <w:rsid w:val="0FBA381F"/>
    <w:rsid w:val="0FBC7598"/>
    <w:rsid w:val="0FD52407"/>
    <w:rsid w:val="0FDF0BB3"/>
    <w:rsid w:val="0FE8213B"/>
    <w:rsid w:val="0FEB5787"/>
    <w:rsid w:val="0FF52AC8"/>
    <w:rsid w:val="0FFA1E6E"/>
    <w:rsid w:val="0FFF466D"/>
    <w:rsid w:val="10022AD1"/>
    <w:rsid w:val="10090303"/>
    <w:rsid w:val="10091618"/>
    <w:rsid w:val="10141182"/>
    <w:rsid w:val="1025513D"/>
    <w:rsid w:val="102869DB"/>
    <w:rsid w:val="10294501"/>
    <w:rsid w:val="102E1B18"/>
    <w:rsid w:val="10401F77"/>
    <w:rsid w:val="105B5256"/>
    <w:rsid w:val="106B4B1A"/>
    <w:rsid w:val="106F63B8"/>
    <w:rsid w:val="10833C11"/>
    <w:rsid w:val="10856F4C"/>
    <w:rsid w:val="109A0F5B"/>
    <w:rsid w:val="10A1053B"/>
    <w:rsid w:val="10B4026F"/>
    <w:rsid w:val="10C04E65"/>
    <w:rsid w:val="10CA7A92"/>
    <w:rsid w:val="10CB7366"/>
    <w:rsid w:val="10DD590B"/>
    <w:rsid w:val="111807FE"/>
    <w:rsid w:val="11186A50"/>
    <w:rsid w:val="111E393A"/>
    <w:rsid w:val="11205904"/>
    <w:rsid w:val="112278CE"/>
    <w:rsid w:val="1125116C"/>
    <w:rsid w:val="11252F1A"/>
    <w:rsid w:val="11381354"/>
    <w:rsid w:val="113D64B6"/>
    <w:rsid w:val="113F222E"/>
    <w:rsid w:val="11423ACC"/>
    <w:rsid w:val="11477335"/>
    <w:rsid w:val="11485186"/>
    <w:rsid w:val="11496C09"/>
    <w:rsid w:val="114A2981"/>
    <w:rsid w:val="11772E7B"/>
    <w:rsid w:val="118F1102"/>
    <w:rsid w:val="11964CC3"/>
    <w:rsid w:val="11A7392F"/>
    <w:rsid w:val="11BA7B07"/>
    <w:rsid w:val="11BC387F"/>
    <w:rsid w:val="11BE546B"/>
    <w:rsid w:val="11C95F9C"/>
    <w:rsid w:val="11CF27F7"/>
    <w:rsid w:val="11F254F3"/>
    <w:rsid w:val="12010318"/>
    <w:rsid w:val="12046915"/>
    <w:rsid w:val="12086AC4"/>
    <w:rsid w:val="120D5E88"/>
    <w:rsid w:val="12105979"/>
    <w:rsid w:val="12176D07"/>
    <w:rsid w:val="121865DB"/>
    <w:rsid w:val="121C431D"/>
    <w:rsid w:val="124D2729"/>
    <w:rsid w:val="12635AA8"/>
    <w:rsid w:val="12687563"/>
    <w:rsid w:val="12767ED2"/>
    <w:rsid w:val="12AD766B"/>
    <w:rsid w:val="12BF111A"/>
    <w:rsid w:val="12CA1FCB"/>
    <w:rsid w:val="12D1335A"/>
    <w:rsid w:val="12E00DC6"/>
    <w:rsid w:val="12F26E2C"/>
    <w:rsid w:val="12F40DF6"/>
    <w:rsid w:val="13086650"/>
    <w:rsid w:val="130E4C12"/>
    <w:rsid w:val="13141E45"/>
    <w:rsid w:val="132C67E2"/>
    <w:rsid w:val="13385187"/>
    <w:rsid w:val="133B4991"/>
    <w:rsid w:val="13623FB2"/>
    <w:rsid w:val="13645F7C"/>
    <w:rsid w:val="137D703E"/>
    <w:rsid w:val="138329DE"/>
    <w:rsid w:val="138B2047"/>
    <w:rsid w:val="138B678C"/>
    <w:rsid w:val="13A26AA4"/>
    <w:rsid w:val="13B50586"/>
    <w:rsid w:val="13C24A51"/>
    <w:rsid w:val="13F54E26"/>
    <w:rsid w:val="13FE0C28"/>
    <w:rsid w:val="141352AC"/>
    <w:rsid w:val="14215C1B"/>
    <w:rsid w:val="14237289"/>
    <w:rsid w:val="143376FC"/>
    <w:rsid w:val="143D67CD"/>
    <w:rsid w:val="145558C5"/>
    <w:rsid w:val="14720225"/>
    <w:rsid w:val="149D101A"/>
    <w:rsid w:val="14B44CE1"/>
    <w:rsid w:val="14C52A4A"/>
    <w:rsid w:val="14D25167"/>
    <w:rsid w:val="14DB226E"/>
    <w:rsid w:val="14DE58BA"/>
    <w:rsid w:val="14E46C49"/>
    <w:rsid w:val="14ED01F3"/>
    <w:rsid w:val="14F05FFA"/>
    <w:rsid w:val="14FC3F92"/>
    <w:rsid w:val="15023C9F"/>
    <w:rsid w:val="15064E11"/>
    <w:rsid w:val="15086DDB"/>
    <w:rsid w:val="150A47FA"/>
    <w:rsid w:val="150A4901"/>
    <w:rsid w:val="150D0E42"/>
    <w:rsid w:val="151237B6"/>
    <w:rsid w:val="15282FD9"/>
    <w:rsid w:val="1537321C"/>
    <w:rsid w:val="15436065"/>
    <w:rsid w:val="15543DCE"/>
    <w:rsid w:val="15593193"/>
    <w:rsid w:val="156264EB"/>
    <w:rsid w:val="15681628"/>
    <w:rsid w:val="156F0C08"/>
    <w:rsid w:val="156F29B6"/>
    <w:rsid w:val="1574621E"/>
    <w:rsid w:val="15836462"/>
    <w:rsid w:val="158C3568"/>
    <w:rsid w:val="15995C85"/>
    <w:rsid w:val="15A05265"/>
    <w:rsid w:val="15A563D8"/>
    <w:rsid w:val="15B91E83"/>
    <w:rsid w:val="15BD1974"/>
    <w:rsid w:val="15C50828"/>
    <w:rsid w:val="15CC605B"/>
    <w:rsid w:val="15D00040"/>
    <w:rsid w:val="15DF7B3C"/>
    <w:rsid w:val="15F15AC1"/>
    <w:rsid w:val="15FB06EE"/>
    <w:rsid w:val="160A26DF"/>
    <w:rsid w:val="161C0D90"/>
    <w:rsid w:val="161D0664"/>
    <w:rsid w:val="16273291"/>
    <w:rsid w:val="1629525B"/>
    <w:rsid w:val="16297009"/>
    <w:rsid w:val="162E0AC3"/>
    <w:rsid w:val="16302145"/>
    <w:rsid w:val="16333219"/>
    <w:rsid w:val="163C139B"/>
    <w:rsid w:val="16491459"/>
    <w:rsid w:val="16551BAC"/>
    <w:rsid w:val="166718DF"/>
    <w:rsid w:val="166A2E17"/>
    <w:rsid w:val="168801D3"/>
    <w:rsid w:val="169C77DB"/>
    <w:rsid w:val="16B34B25"/>
    <w:rsid w:val="16B40FC8"/>
    <w:rsid w:val="16B56AEF"/>
    <w:rsid w:val="16C17241"/>
    <w:rsid w:val="16C81342"/>
    <w:rsid w:val="16CD3E38"/>
    <w:rsid w:val="16CD5BE6"/>
    <w:rsid w:val="16DB47A7"/>
    <w:rsid w:val="16DF591A"/>
    <w:rsid w:val="16E41182"/>
    <w:rsid w:val="16EA2C3C"/>
    <w:rsid w:val="16EB2510"/>
    <w:rsid w:val="16EB42BE"/>
    <w:rsid w:val="16F5513D"/>
    <w:rsid w:val="16F77107"/>
    <w:rsid w:val="16F83A74"/>
    <w:rsid w:val="17013AE2"/>
    <w:rsid w:val="170A6E3A"/>
    <w:rsid w:val="17147CB9"/>
    <w:rsid w:val="17190E2C"/>
    <w:rsid w:val="172577D0"/>
    <w:rsid w:val="172829E4"/>
    <w:rsid w:val="172B6DB1"/>
    <w:rsid w:val="173619DD"/>
    <w:rsid w:val="17375E82"/>
    <w:rsid w:val="17424826"/>
    <w:rsid w:val="174A36DB"/>
    <w:rsid w:val="174C1201"/>
    <w:rsid w:val="17571954"/>
    <w:rsid w:val="176522C3"/>
    <w:rsid w:val="17795D6E"/>
    <w:rsid w:val="177C621C"/>
    <w:rsid w:val="17824C23"/>
    <w:rsid w:val="178F7340"/>
    <w:rsid w:val="1796247C"/>
    <w:rsid w:val="179B3F36"/>
    <w:rsid w:val="179E3A27"/>
    <w:rsid w:val="17A54DB5"/>
    <w:rsid w:val="17AE3C6A"/>
    <w:rsid w:val="17C0574B"/>
    <w:rsid w:val="17CF1E32"/>
    <w:rsid w:val="17DB1E48"/>
    <w:rsid w:val="17E958DC"/>
    <w:rsid w:val="17EE050A"/>
    <w:rsid w:val="17F11DA8"/>
    <w:rsid w:val="17FD24FB"/>
    <w:rsid w:val="1800023D"/>
    <w:rsid w:val="1820543E"/>
    <w:rsid w:val="1821268E"/>
    <w:rsid w:val="18225B3C"/>
    <w:rsid w:val="1824469F"/>
    <w:rsid w:val="18365A0D"/>
    <w:rsid w:val="183B1275"/>
    <w:rsid w:val="1844637C"/>
    <w:rsid w:val="184719C8"/>
    <w:rsid w:val="184C3483"/>
    <w:rsid w:val="184E71FB"/>
    <w:rsid w:val="18534811"/>
    <w:rsid w:val="18567E5D"/>
    <w:rsid w:val="18595419"/>
    <w:rsid w:val="185D743E"/>
    <w:rsid w:val="186A1692"/>
    <w:rsid w:val="186C142F"/>
    <w:rsid w:val="186E51A7"/>
    <w:rsid w:val="187F4254"/>
    <w:rsid w:val="1881312C"/>
    <w:rsid w:val="18820C52"/>
    <w:rsid w:val="189E3CDE"/>
    <w:rsid w:val="18A706B9"/>
    <w:rsid w:val="18CD6371"/>
    <w:rsid w:val="18CE20EA"/>
    <w:rsid w:val="18CE2AA5"/>
    <w:rsid w:val="18DA283C"/>
    <w:rsid w:val="18ED2570"/>
    <w:rsid w:val="18ED431E"/>
    <w:rsid w:val="19037FE5"/>
    <w:rsid w:val="19082631"/>
    <w:rsid w:val="190C174F"/>
    <w:rsid w:val="19232435"/>
    <w:rsid w:val="193463F1"/>
    <w:rsid w:val="19355CC5"/>
    <w:rsid w:val="19410B0E"/>
    <w:rsid w:val="19510D51"/>
    <w:rsid w:val="196A1E12"/>
    <w:rsid w:val="19744A3F"/>
    <w:rsid w:val="19882298"/>
    <w:rsid w:val="19996254"/>
    <w:rsid w:val="19A30E80"/>
    <w:rsid w:val="19A64BBA"/>
    <w:rsid w:val="19B94E89"/>
    <w:rsid w:val="19BB5446"/>
    <w:rsid w:val="19CF7EC7"/>
    <w:rsid w:val="19D92AF4"/>
    <w:rsid w:val="19DD7B16"/>
    <w:rsid w:val="19F327C0"/>
    <w:rsid w:val="19FD67E3"/>
    <w:rsid w:val="1A030941"/>
    <w:rsid w:val="1A073B05"/>
    <w:rsid w:val="1A11228E"/>
    <w:rsid w:val="1A141D7E"/>
    <w:rsid w:val="1A204BC7"/>
    <w:rsid w:val="1A267C28"/>
    <w:rsid w:val="1A2B77F4"/>
    <w:rsid w:val="1A3504ED"/>
    <w:rsid w:val="1A367F46"/>
    <w:rsid w:val="1A3A7A37"/>
    <w:rsid w:val="1A3D7527"/>
    <w:rsid w:val="1A3F504D"/>
    <w:rsid w:val="1A411D4B"/>
    <w:rsid w:val="1A543041"/>
    <w:rsid w:val="1A5959E3"/>
    <w:rsid w:val="1A694568"/>
    <w:rsid w:val="1A6C5716"/>
    <w:rsid w:val="1A807414"/>
    <w:rsid w:val="1A8B2040"/>
    <w:rsid w:val="1A951111"/>
    <w:rsid w:val="1A995465"/>
    <w:rsid w:val="1A9F3D3E"/>
    <w:rsid w:val="1AA3728B"/>
    <w:rsid w:val="1AB01AA7"/>
    <w:rsid w:val="1AB07CF9"/>
    <w:rsid w:val="1AB23A71"/>
    <w:rsid w:val="1AC27A2C"/>
    <w:rsid w:val="1AC6751C"/>
    <w:rsid w:val="1ADD03C2"/>
    <w:rsid w:val="1AE14356"/>
    <w:rsid w:val="1AE312C8"/>
    <w:rsid w:val="1AE654C9"/>
    <w:rsid w:val="1AF077EF"/>
    <w:rsid w:val="1AF57E02"/>
    <w:rsid w:val="1AF851FC"/>
    <w:rsid w:val="1AF916A0"/>
    <w:rsid w:val="1AFB516F"/>
    <w:rsid w:val="1AFD2812"/>
    <w:rsid w:val="1B1738D4"/>
    <w:rsid w:val="1B193AF0"/>
    <w:rsid w:val="1B1C0EEA"/>
    <w:rsid w:val="1B1F4E7E"/>
    <w:rsid w:val="1B23671D"/>
    <w:rsid w:val="1B245FF1"/>
    <w:rsid w:val="1B3C333B"/>
    <w:rsid w:val="1B434A71"/>
    <w:rsid w:val="1B4641B9"/>
    <w:rsid w:val="1B4D379A"/>
    <w:rsid w:val="1B633F67"/>
    <w:rsid w:val="1B697EA8"/>
    <w:rsid w:val="1B6B3C20"/>
    <w:rsid w:val="1B75684C"/>
    <w:rsid w:val="1B843D5A"/>
    <w:rsid w:val="1B883C0F"/>
    <w:rsid w:val="1B8D0519"/>
    <w:rsid w:val="1B9A3B40"/>
    <w:rsid w:val="1BA01B1B"/>
    <w:rsid w:val="1BAA4748"/>
    <w:rsid w:val="1BB235FD"/>
    <w:rsid w:val="1BB446E7"/>
    <w:rsid w:val="1BBE1FA1"/>
    <w:rsid w:val="1BC11A92"/>
    <w:rsid w:val="1BCE7E5F"/>
    <w:rsid w:val="1BEA0FE8"/>
    <w:rsid w:val="1BEC4D61"/>
    <w:rsid w:val="1BFB4FA4"/>
    <w:rsid w:val="1C071B9A"/>
    <w:rsid w:val="1C0A51E7"/>
    <w:rsid w:val="1C0F0A4F"/>
    <w:rsid w:val="1C142509"/>
    <w:rsid w:val="1C146371"/>
    <w:rsid w:val="1C1B3898"/>
    <w:rsid w:val="1C1B5646"/>
    <w:rsid w:val="1C252021"/>
    <w:rsid w:val="1C3404B6"/>
    <w:rsid w:val="1C400EE5"/>
    <w:rsid w:val="1C427D60"/>
    <w:rsid w:val="1C4C57FF"/>
    <w:rsid w:val="1C5D7A0C"/>
    <w:rsid w:val="1C5E5533"/>
    <w:rsid w:val="1C6C5EA1"/>
    <w:rsid w:val="1C7B60E4"/>
    <w:rsid w:val="1C9378D2"/>
    <w:rsid w:val="1CC57360"/>
    <w:rsid w:val="1CC655B2"/>
    <w:rsid w:val="1CCB0E1A"/>
    <w:rsid w:val="1CDA72AF"/>
    <w:rsid w:val="1CDD6D9F"/>
    <w:rsid w:val="1CDF48C5"/>
    <w:rsid w:val="1CE02090"/>
    <w:rsid w:val="1CE60723"/>
    <w:rsid w:val="1CE617B0"/>
    <w:rsid w:val="1CF67135"/>
    <w:rsid w:val="1D0460DA"/>
    <w:rsid w:val="1D2D73DF"/>
    <w:rsid w:val="1D350989"/>
    <w:rsid w:val="1D3F3F3C"/>
    <w:rsid w:val="1D646B79"/>
    <w:rsid w:val="1D756FD8"/>
    <w:rsid w:val="1D7814FC"/>
    <w:rsid w:val="1D7A639C"/>
    <w:rsid w:val="1D7C0366"/>
    <w:rsid w:val="1D862F93"/>
    <w:rsid w:val="1D865A27"/>
    <w:rsid w:val="1D900790"/>
    <w:rsid w:val="1D9374E4"/>
    <w:rsid w:val="1DA33B45"/>
    <w:rsid w:val="1DC55869"/>
    <w:rsid w:val="1DD106B2"/>
    <w:rsid w:val="1DD7559C"/>
    <w:rsid w:val="1DD822DE"/>
    <w:rsid w:val="1DDC0E05"/>
    <w:rsid w:val="1DDF1FDE"/>
    <w:rsid w:val="1DE5415D"/>
    <w:rsid w:val="1DEB0A3D"/>
    <w:rsid w:val="1DF60118"/>
    <w:rsid w:val="1DF66931"/>
    <w:rsid w:val="1E0D5462"/>
    <w:rsid w:val="1E124827"/>
    <w:rsid w:val="1E164317"/>
    <w:rsid w:val="1E193D23"/>
    <w:rsid w:val="1E1D56A5"/>
    <w:rsid w:val="1E1E4F79"/>
    <w:rsid w:val="1E1F070E"/>
    <w:rsid w:val="1E222CBC"/>
    <w:rsid w:val="1E29229C"/>
    <w:rsid w:val="1E2A5FF9"/>
    <w:rsid w:val="1E4058C9"/>
    <w:rsid w:val="1E472722"/>
    <w:rsid w:val="1E4D585F"/>
    <w:rsid w:val="1E4E1D03"/>
    <w:rsid w:val="1E562965"/>
    <w:rsid w:val="1E62539E"/>
    <w:rsid w:val="1E71154D"/>
    <w:rsid w:val="1E7828DC"/>
    <w:rsid w:val="1E7B23CC"/>
    <w:rsid w:val="1E7B6870"/>
    <w:rsid w:val="1E9F255E"/>
    <w:rsid w:val="1EA01E32"/>
    <w:rsid w:val="1EAC4C7B"/>
    <w:rsid w:val="1EAF2075"/>
    <w:rsid w:val="1EC05AB5"/>
    <w:rsid w:val="1EC137FC"/>
    <w:rsid w:val="1EC43D73"/>
    <w:rsid w:val="1ECC505B"/>
    <w:rsid w:val="1ED63AA6"/>
    <w:rsid w:val="1ED8781E"/>
    <w:rsid w:val="1EDB2A3A"/>
    <w:rsid w:val="1EE00481"/>
    <w:rsid w:val="1EF2262A"/>
    <w:rsid w:val="1EF351FB"/>
    <w:rsid w:val="1EFC3BAF"/>
    <w:rsid w:val="1F022AED"/>
    <w:rsid w:val="1F0932DC"/>
    <w:rsid w:val="1F0D396C"/>
    <w:rsid w:val="1F201611"/>
    <w:rsid w:val="1F232B99"/>
    <w:rsid w:val="1F2634B6"/>
    <w:rsid w:val="1F2E38E2"/>
    <w:rsid w:val="1F32168E"/>
    <w:rsid w:val="1F325EC7"/>
    <w:rsid w:val="1F363EB0"/>
    <w:rsid w:val="1F374545"/>
    <w:rsid w:val="1F443106"/>
    <w:rsid w:val="1F666BD8"/>
    <w:rsid w:val="1F72557D"/>
    <w:rsid w:val="1F7E6617"/>
    <w:rsid w:val="1F817A84"/>
    <w:rsid w:val="1F8654CC"/>
    <w:rsid w:val="1F891D47"/>
    <w:rsid w:val="1F8B663F"/>
    <w:rsid w:val="1FA31BDA"/>
    <w:rsid w:val="1FA92F69"/>
    <w:rsid w:val="1FB578D4"/>
    <w:rsid w:val="1FCD30FB"/>
    <w:rsid w:val="1FDC6E9A"/>
    <w:rsid w:val="1FF40688"/>
    <w:rsid w:val="1FF468DA"/>
    <w:rsid w:val="201F7B62"/>
    <w:rsid w:val="20270A5D"/>
    <w:rsid w:val="204131A1"/>
    <w:rsid w:val="20474C5B"/>
    <w:rsid w:val="206770AC"/>
    <w:rsid w:val="208714FC"/>
    <w:rsid w:val="20875058"/>
    <w:rsid w:val="208C6B12"/>
    <w:rsid w:val="20975384"/>
    <w:rsid w:val="209E05F3"/>
    <w:rsid w:val="20B322F1"/>
    <w:rsid w:val="20B56020"/>
    <w:rsid w:val="20B83463"/>
    <w:rsid w:val="20D364EF"/>
    <w:rsid w:val="20F87D04"/>
    <w:rsid w:val="20FA7F20"/>
    <w:rsid w:val="21090163"/>
    <w:rsid w:val="210C7C53"/>
    <w:rsid w:val="2111327F"/>
    <w:rsid w:val="211F7986"/>
    <w:rsid w:val="212C4C52"/>
    <w:rsid w:val="2136082C"/>
    <w:rsid w:val="21374CD0"/>
    <w:rsid w:val="213845A4"/>
    <w:rsid w:val="214747E7"/>
    <w:rsid w:val="21486EDD"/>
    <w:rsid w:val="2149055F"/>
    <w:rsid w:val="214E201A"/>
    <w:rsid w:val="215533A8"/>
    <w:rsid w:val="21553BAC"/>
    <w:rsid w:val="215F5FD5"/>
    <w:rsid w:val="215F7DEB"/>
    <w:rsid w:val="217A696B"/>
    <w:rsid w:val="21821CC3"/>
    <w:rsid w:val="218772F8"/>
    <w:rsid w:val="2194785A"/>
    <w:rsid w:val="21997739"/>
    <w:rsid w:val="21A734D8"/>
    <w:rsid w:val="21B52099"/>
    <w:rsid w:val="21B75E11"/>
    <w:rsid w:val="21BA145D"/>
    <w:rsid w:val="21BA6AF0"/>
    <w:rsid w:val="21C66054"/>
    <w:rsid w:val="21CB366A"/>
    <w:rsid w:val="21CB5418"/>
    <w:rsid w:val="21D06ED2"/>
    <w:rsid w:val="21D70DF2"/>
    <w:rsid w:val="21D818E3"/>
    <w:rsid w:val="21E309B4"/>
    <w:rsid w:val="21E6188A"/>
    <w:rsid w:val="21EA7F94"/>
    <w:rsid w:val="21F77FBB"/>
    <w:rsid w:val="21F93D33"/>
    <w:rsid w:val="21FF50C2"/>
    <w:rsid w:val="220E55FF"/>
    <w:rsid w:val="22105521"/>
    <w:rsid w:val="22146DBF"/>
    <w:rsid w:val="22356D36"/>
    <w:rsid w:val="223B259E"/>
    <w:rsid w:val="224156DA"/>
    <w:rsid w:val="22477195"/>
    <w:rsid w:val="224C47AB"/>
    <w:rsid w:val="225E1285"/>
    <w:rsid w:val="226F2247"/>
    <w:rsid w:val="22725EDB"/>
    <w:rsid w:val="227E06DD"/>
    <w:rsid w:val="22AC524A"/>
    <w:rsid w:val="22B002C2"/>
    <w:rsid w:val="22C5455D"/>
    <w:rsid w:val="22D30A28"/>
    <w:rsid w:val="22D95913"/>
    <w:rsid w:val="22F15352"/>
    <w:rsid w:val="22FA1539"/>
    <w:rsid w:val="23022818"/>
    <w:rsid w:val="23027955"/>
    <w:rsid w:val="230706D2"/>
    <w:rsid w:val="231A4A13"/>
    <w:rsid w:val="231F6004"/>
    <w:rsid w:val="232C0139"/>
    <w:rsid w:val="23353491"/>
    <w:rsid w:val="2335523F"/>
    <w:rsid w:val="234C2589"/>
    <w:rsid w:val="23593283"/>
    <w:rsid w:val="235949C4"/>
    <w:rsid w:val="235D4796"/>
    <w:rsid w:val="23600CB2"/>
    <w:rsid w:val="2366364A"/>
    <w:rsid w:val="2369313B"/>
    <w:rsid w:val="236E0751"/>
    <w:rsid w:val="237F64BA"/>
    <w:rsid w:val="238041A2"/>
    <w:rsid w:val="2383244E"/>
    <w:rsid w:val="238639E1"/>
    <w:rsid w:val="238910E7"/>
    <w:rsid w:val="238E0DF3"/>
    <w:rsid w:val="239857CE"/>
    <w:rsid w:val="23A01561"/>
    <w:rsid w:val="23A16E3F"/>
    <w:rsid w:val="23A423C5"/>
    <w:rsid w:val="23B32608"/>
    <w:rsid w:val="23BE0FA1"/>
    <w:rsid w:val="23CB16FF"/>
    <w:rsid w:val="23D762F6"/>
    <w:rsid w:val="23DF164F"/>
    <w:rsid w:val="23E6478B"/>
    <w:rsid w:val="23FA60C2"/>
    <w:rsid w:val="23FC3FAF"/>
    <w:rsid w:val="23FE4FA4"/>
    <w:rsid w:val="23FE671A"/>
    <w:rsid w:val="24082954"/>
    <w:rsid w:val="240F5A90"/>
    <w:rsid w:val="241906BD"/>
    <w:rsid w:val="241F37F9"/>
    <w:rsid w:val="24242427"/>
    <w:rsid w:val="24284DA4"/>
    <w:rsid w:val="242A65FD"/>
    <w:rsid w:val="242B03F0"/>
    <w:rsid w:val="242B6642"/>
    <w:rsid w:val="24376D95"/>
    <w:rsid w:val="243F5C4A"/>
    <w:rsid w:val="24534FAF"/>
    <w:rsid w:val="24594F5D"/>
    <w:rsid w:val="245C2C9F"/>
    <w:rsid w:val="246F29D3"/>
    <w:rsid w:val="24743B45"/>
    <w:rsid w:val="2480073C"/>
    <w:rsid w:val="24961512"/>
    <w:rsid w:val="249D0D5B"/>
    <w:rsid w:val="249F7694"/>
    <w:rsid w:val="24AC7783"/>
    <w:rsid w:val="24B228BF"/>
    <w:rsid w:val="24B7449F"/>
    <w:rsid w:val="24C2279E"/>
    <w:rsid w:val="24D46CDA"/>
    <w:rsid w:val="24E16D01"/>
    <w:rsid w:val="24E22490"/>
    <w:rsid w:val="24E54A43"/>
    <w:rsid w:val="24ED56A6"/>
    <w:rsid w:val="24FB7DC2"/>
    <w:rsid w:val="25076767"/>
    <w:rsid w:val="250824DF"/>
    <w:rsid w:val="25196DF7"/>
    <w:rsid w:val="251B0465"/>
    <w:rsid w:val="25201F1F"/>
    <w:rsid w:val="25203CCD"/>
    <w:rsid w:val="252437BD"/>
    <w:rsid w:val="252A120C"/>
    <w:rsid w:val="25311A36"/>
    <w:rsid w:val="25334962"/>
    <w:rsid w:val="253D487F"/>
    <w:rsid w:val="2547125A"/>
    <w:rsid w:val="25476416"/>
    <w:rsid w:val="255461AE"/>
    <w:rsid w:val="255F47F5"/>
    <w:rsid w:val="256242E5"/>
    <w:rsid w:val="25792133"/>
    <w:rsid w:val="25834D70"/>
    <w:rsid w:val="258352BD"/>
    <w:rsid w:val="25853B30"/>
    <w:rsid w:val="25950217"/>
    <w:rsid w:val="259B3353"/>
    <w:rsid w:val="25A1133F"/>
    <w:rsid w:val="25AB17E9"/>
    <w:rsid w:val="25B032A3"/>
    <w:rsid w:val="25C12DBA"/>
    <w:rsid w:val="25CB3C39"/>
    <w:rsid w:val="25D24FC7"/>
    <w:rsid w:val="25E116AE"/>
    <w:rsid w:val="25F34F3E"/>
    <w:rsid w:val="2601765A"/>
    <w:rsid w:val="260333D3"/>
    <w:rsid w:val="2604539D"/>
    <w:rsid w:val="26062EC3"/>
    <w:rsid w:val="26154EB4"/>
    <w:rsid w:val="261E020C"/>
    <w:rsid w:val="261E645E"/>
    <w:rsid w:val="262D66A1"/>
    <w:rsid w:val="26321F0A"/>
    <w:rsid w:val="26344979"/>
    <w:rsid w:val="26395046"/>
    <w:rsid w:val="263F6605"/>
    <w:rsid w:val="26543C2E"/>
    <w:rsid w:val="26551754"/>
    <w:rsid w:val="265A4FBD"/>
    <w:rsid w:val="266D2F42"/>
    <w:rsid w:val="267A740D"/>
    <w:rsid w:val="267C4F33"/>
    <w:rsid w:val="26802C75"/>
    <w:rsid w:val="2685028B"/>
    <w:rsid w:val="268838D8"/>
    <w:rsid w:val="26926A95"/>
    <w:rsid w:val="269E134D"/>
    <w:rsid w:val="26B24DF9"/>
    <w:rsid w:val="26B4291F"/>
    <w:rsid w:val="26B7240F"/>
    <w:rsid w:val="26C12FA3"/>
    <w:rsid w:val="26CD578F"/>
    <w:rsid w:val="26CF1507"/>
    <w:rsid w:val="26E2170A"/>
    <w:rsid w:val="26E37B9B"/>
    <w:rsid w:val="26F176CF"/>
    <w:rsid w:val="27005B64"/>
    <w:rsid w:val="2702368A"/>
    <w:rsid w:val="27070CA1"/>
    <w:rsid w:val="27090EBD"/>
    <w:rsid w:val="2711365D"/>
    <w:rsid w:val="27167136"/>
    <w:rsid w:val="273D0B66"/>
    <w:rsid w:val="2742617D"/>
    <w:rsid w:val="275814FC"/>
    <w:rsid w:val="275B723E"/>
    <w:rsid w:val="275D49B7"/>
    <w:rsid w:val="2765048C"/>
    <w:rsid w:val="27653C19"/>
    <w:rsid w:val="27820F37"/>
    <w:rsid w:val="278B57CE"/>
    <w:rsid w:val="27A6670B"/>
    <w:rsid w:val="27B70919"/>
    <w:rsid w:val="27BB7CDD"/>
    <w:rsid w:val="27C22E19"/>
    <w:rsid w:val="27C40E9E"/>
    <w:rsid w:val="27CB43C4"/>
    <w:rsid w:val="27FF7BCA"/>
    <w:rsid w:val="280D0539"/>
    <w:rsid w:val="280E1E1D"/>
    <w:rsid w:val="28235FAE"/>
    <w:rsid w:val="2826784C"/>
    <w:rsid w:val="282B4E63"/>
    <w:rsid w:val="282D2989"/>
    <w:rsid w:val="282E04AF"/>
    <w:rsid w:val="282E5827"/>
    <w:rsid w:val="283755B5"/>
    <w:rsid w:val="28485A15"/>
    <w:rsid w:val="284F6DA3"/>
    <w:rsid w:val="285F2D5E"/>
    <w:rsid w:val="28643ED1"/>
    <w:rsid w:val="28726FFB"/>
    <w:rsid w:val="28754330"/>
    <w:rsid w:val="288325A9"/>
    <w:rsid w:val="28846321"/>
    <w:rsid w:val="288D78CB"/>
    <w:rsid w:val="28926C90"/>
    <w:rsid w:val="28A01DEF"/>
    <w:rsid w:val="28A349F9"/>
    <w:rsid w:val="28A40771"/>
    <w:rsid w:val="28B2000F"/>
    <w:rsid w:val="28C13CF8"/>
    <w:rsid w:val="28C64B8B"/>
    <w:rsid w:val="28CD7CC8"/>
    <w:rsid w:val="28E03E9F"/>
    <w:rsid w:val="28E867B1"/>
    <w:rsid w:val="28EB63A0"/>
    <w:rsid w:val="28EC2844"/>
    <w:rsid w:val="28F01837"/>
    <w:rsid w:val="28F17E5A"/>
    <w:rsid w:val="28F434A6"/>
    <w:rsid w:val="28FC05AD"/>
    <w:rsid w:val="290D27BA"/>
    <w:rsid w:val="29134600"/>
    <w:rsid w:val="29253660"/>
    <w:rsid w:val="292F0982"/>
    <w:rsid w:val="294361DC"/>
    <w:rsid w:val="294B77A1"/>
    <w:rsid w:val="294C5091"/>
    <w:rsid w:val="296D06A4"/>
    <w:rsid w:val="296F6FD1"/>
    <w:rsid w:val="29733D0B"/>
    <w:rsid w:val="297C1441"/>
    <w:rsid w:val="297D349C"/>
    <w:rsid w:val="298760C9"/>
    <w:rsid w:val="29910CF5"/>
    <w:rsid w:val="29920858"/>
    <w:rsid w:val="29930F11"/>
    <w:rsid w:val="2998070D"/>
    <w:rsid w:val="29A053DC"/>
    <w:rsid w:val="29A41709"/>
    <w:rsid w:val="29A76DE1"/>
    <w:rsid w:val="29CC73D5"/>
    <w:rsid w:val="29CD21FE"/>
    <w:rsid w:val="29CF0DBC"/>
    <w:rsid w:val="29D1086F"/>
    <w:rsid w:val="29D4637D"/>
    <w:rsid w:val="29D60DFE"/>
    <w:rsid w:val="29E51041"/>
    <w:rsid w:val="29EB2AFB"/>
    <w:rsid w:val="29FD45DD"/>
    <w:rsid w:val="2A021BF3"/>
    <w:rsid w:val="2A17569E"/>
    <w:rsid w:val="2A21651D"/>
    <w:rsid w:val="2A3224D8"/>
    <w:rsid w:val="2A41271B"/>
    <w:rsid w:val="2A6401B8"/>
    <w:rsid w:val="2A727FC6"/>
    <w:rsid w:val="2A754FB7"/>
    <w:rsid w:val="2A846AAC"/>
    <w:rsid w:val="2A9650C9"/>
    <w:rsid w:val="2A97233B"/>
    <w:rsid w:val="2AA333D6"/>
    <w:rsid w:val="2AA510AF"/>
    <w:rsid w:val="2ABA427C"/>
    <w:rsid w:val="2ABE1FBE"/>
    <w:rsid w:val="2AC670C5"/>
    <w:rsid w:val="2AC90530"/>
    <w:rsid w:val="2AD37EBA"/>
    <w:rsid w:val="2AEA4B61"/>
    <w:rsid w:val="2AF7727E"/>
    <w:rsid w:val="2AFE61F9"/>
    <w:rsid w:val="2B0A6FB1"/>
    <w:rsid w:val="2B133847"/>
    <w:rsid w:val="2B231E21"/>
    <w:rsid w:val="2B25298A"/>
    <w:rsid w:val="2B312790"/>
    <w:rsid w:val="2B4F2C16"/>
    <w:rsid w:val="2B593A95"/>
    <w:rsid w:val="2B6568DD"/>
    <w:rsid w:val="2B6C7C6C"/>
    <w:rsid w:val="2B6E5792"/>
    <w:rsid w:val="2B74267D"/>
    <w:rsid w:val="2B807273"/>
    <w:rsid w:val="2B836D64"/>
    <w:rsid w:val="2B8515C8"/>
    <w:rsid w:val="2B88225A"/>
    <w:rsid w:val="2B9F5CDF"/>
    <w:rsid w:val="2BA74800"/>
    <w:rsid w:val="2BAE3DE1"/>
    <w:rsid w:val="2BB46F1D"/>
    <w:rsid w:val="2BC43604"/>
    <w:rsid w:val="2BC90C1A"/>
    <w:rsid w:val="2BDD3CFB"/>
    <w:rsid w:val="2BEA56D2"/>
    <w:rsid w:val="2BF805AE"/>
    <w:rsid w:val="2C0C4FAB"/>
    <w:rsid w:val="2C210A56"/>
    <w:rsid w:val="2C271DE5"/>
    <w:rsid w:val="2C5B070C"/>
    <w:rsid w:val="2C7A0167"/>
    <w:rsid w:val="2C7F39CF"/>
    <w:rsid w:val="2C8F3D68"/>
    <w:rsid w:val="2C9C632F"/>
    <w:rsid w:val="2CAA33F2"/>
    <w:rsid w:val="2CB5119F"/>
    <w:rsid w:val="2CB573F1"/>
    <w:rsid w:val="2CBD400F"/>
    <w:rsid w:val="2CBF6E23"/>
    <w:rsid w:val="2CC43190"/>
    <w:rsid w:val="2CC82C80"/>
    <w:rsid w:val="2CCB2770"/>
    <w:rsid w:val="2CD07E96"/>
    <w:rsid w:val="2CD930DF"/>
    <w:rsid w:val="2CD94E8D"/>
    <w:rsid w:val="2CDC497D"/>
    <w:rsid w:val="2CF021D7"/>
    <w:rsid w:val="2CF77A09"/>
    <w:rsid w:val="2D0068BE"/>
    <w:rsid w:val="2D0A3299"/>
    <w:rsid w:val="2D0D4B37"/>
    <w:rsid w:val="2D12039F"/>
    <w:rsid w:val="2D177764"/>
    <w:rsid w:val="2D225600"/>
    <w:rsid w:val="2D287BC3"/>
    <w:rsid w:val="2D2F07C3"/>
    <w:rsid w:val="2D351C8B"/>
    <w:rsid w:val="2D483DC1"/>
    <w:rsid w:val="2D485B6F"/>
    <w:rsid w:val="2D4F33A1"/>
    <w:rsid w:val="2D630BFB"/>
    <w:rsid w:val="2D662499"/>
    <w:rsid w:val="2D72708F"/>
    <w:rsid w:val="2D825525"/>
    <w:rsid w:val="2D872B3B"/>
    <w:rsid w:val="2DAE631A"/>
    <w:rsid w:val="2DB31B82"/>
    <w:rsid w:val="2DBD030B"/>
    <w:rsid w:val="2DC0604D"/>
    <w:rsid w:val="2DCA6ABE"/>
    <w:rsid w:val="2DCC2611"/>
    <w:rsid w:val="2DD12008"/>
    <w:rsid w:val="2DD85145"/>
    <w:rsid w:val="2DD90EBD"/>
    <w:rsid w:val="2DE113C0"/>
    <w:rsid w:val="2DE47F8D"/>
    <w:rsid w:val="2DE97352"/>
    <w:rsid w:val="2DED6716"/>
    <w:rsid w:val="2DF2432C"/>
    <w:rsid w:val="2DFE0923"/>
    <w:rsid w:val="2E051E23"/>
    <w:rsid w:val="2E063BED"/>
    <w:rsid w:val="2E1B7727"/>
    <w:rsid w:val="2E33681F"/>
    <w:rsid w:val="2E373605"/>
    <w:rsid w:val="2E497DF1"/>
    <w:rsid w:val="2E503607"/>
    <w:rsid w:val="2E5A0537"/>
    <w:rsid w:val="2E5F7614"/>
    <w:rsid w:val="2E642E7C"/>
    <w:rsid w:val="2E813A2E"/>
    <w:rsid w:val="2E823302"/>
    <w:rsid w:val="2E95347B"/>
    <w:rsid w:val="2E9A4AF0"/>
    <w:rsid w:val="2E9A5E5D"/>
    <w:rsid w:val="2EA27501"/>
    <w:rsid w:val="2EA35A7F"/>
    <w:rsid w:val="2EA4771D"/>
    <w:rsid w:val="2EA66FF1"/>
    <w:rsid w:val="2EAB0AAB"/>
    <w:rsid w:val="2EAD65D1"/>
    <w:rsid w:val="2EB060C2"/>
    <w:rsid w:val="2EB21578"/>
    <w:rsid w:val="2EBB3162"/>
    <w:rsid w:val="2EBC6814"/>
    <w:rsid w:val="2ECE02F6"/>
    <w:rsid w:val="2ED26038"/>
    <w:rsid w:val="2EDA4EED"/>
    <w:rsid w:val="2EDD678B"/>
    <w:rsid w:val="2EE10029"/>
    <w:rsid w:val="2EE55832"/>
    <w:rsid w:val="2EE67D35"/>
    <w:rsid w:val="2EE93382"/>
    <w:rsid w:val="2EED2C6C"/>
    <w:rsid w:val="2EF20488"/>
    <w:rsid w:val="2EF73CF0"/>
    <w:rsid w:val="2F0106CB"/>
    <w:rsid w:val="2F044E1C"/>
    <w:rsid w:val="2F0A3A24"/>
    <w:rsid w:val="2F1E74CF"/>
    <w:rsid w:val="2F2B5748"/>
    <w:rsid w:val="2F302D5E"/>
    <w:rsid w:val="2F417CB7"/>
    <w:rsid w:val="2F5C3B54"/>
    <w:rsid w:val="2F5F3363"/>
    <w:rsid w:val="2F61560E"/>
    <w:rsid w:val="2F807842"/>
    <w:rsid w:val="2F923A19"/>
    <w:rsid w:val="2F9257C7"/>
    <w:rsid w:val="2F947791"/>
    <w:rsid w:val="2F9D7E27"/>
    <w:rsid w:val="2FA66A7B"/>
    <w:rsid w:val="2FB614B6"/>
    <w:rsid w:val="2FB67708"/>
    <w:rsid w:val="2FC70717"/>
    <w:rsid w:val="2FD8767E"/>
    <w:rsid w:val="2FDC44EE"/>
    <w:rsid w:val="2FDD4C94"/>
    <w:rsid w:val="2FEE50F3"/>
    <w:rsid w:val="2FF975F4"/>
    <w:rsid w:val="2FFB63E5"/>
    <w:rsid w:val="30110DE2"/>
    <w:rsid w:val="301E14CD"/>
    <w:rsid w:val="302723B3"/>
    <w:rsid w:val="30273D1D"/>
    <w:rsid w:val="3038636F"/>
    <w:rsid w:val="303B19BB"/>
    <w:rsid w:val="30442F65"/>
    <w:rsid w:val="304545E8"/>
    <w:rsid w:val="30474804"/>
    <w:rsid w:val="3058256D"/>
    <w:rsid w:val="305F38FB"/>
    <w:rsid w:val="30603CA1"/>
    <w:rsid w:val="306058C5"/>
    <w:rsid w:val="306F1026"/>
    <w:rsid w:val="308B46F0"/>
    <w:rsid w:val="30937A49"/>
    <w:rsid w:val="30982B54"/>
    <w:rsid w:val="30A13F14"/>
    <w:rsid w:val="30A752A2"/>
    <w:rsid w:val="30AE03DF"/>
    <w:rsid w:val="30B71989"/>
    <w:rsid w:val="30B8125D"/>
    <w:rsid w:val="30C10112"/>
    <w:rsid w:val="30C23E8A"/>
    <w:rsid w:val="30D616E4"/>
    <w:rsid w:val="30DA11D4"/>
    <w:rsid w:val="30E3277E"/>
    <w:rsid w:val="30ED53AB"/>
    <w:rsid w:val="30F304E8"/>
    <w:rsid w:val="30F474E8"/>
    <w:rsid w:val="30F62A82"/>
    <w:rsid w:val="30FC739C"/>
    <w:rsid w:val="31012C04"/>
    <w:rsid w:val="311A3CC6"/>
    <w:rsid w:val="31215055"/>
    <w:rsid w:val="312F7772"/>
    <w:rsid w:val="313E5C07"/>
    <w:rsid w:val="3140197F"/>
    <w:rsid w:val="314D7BF8"/>
    <w:rsid w:val="3150593A"/>
    <w:rsid w:val="31520EA2"/>
    <w:rsid w:val="31523460"/>
    <w:rsid w:val="31532D34"/>
    <w:rsid w:val="31574969"/>
    <w:rsid w:val="31647002"/>
    <w:rsid w:val="316513E5"/>
    <w:rsid w:val="317258B0"/>
    <w:rsid w:val="3175714F"/>
    <w:rsid w:val="31761E32"/>
    <w:rsid w:val="317C1BF8"/>
    <w:rsid w:val="317D78BE"/>
    <w:rsid w:val="31817E6A"/>
    <w:rsid w:val="318850D4"/>
    <w:rsid w:val="318A2BFA"/>
    <w:rsid w:val="318F6462"/>
    <w:rsid w:val="31943A79"/>
    <w:rsid w:val="31A30E4F"/>
    <w:rsid w:val="31A517E2"/>
    <w:rsid w:val="31CA749A"/>
    <w:rsid w:val="31D2634F"/>
    <w:rsid w:val="31E3230A"/>
    <w:rsid w:val="31EA5447"/>
    <w:rsid w:val="32085AE3"/>
    <w:rsid w:val="322272D6"/>
    <w:rsid w:val="32292413"/>
    <w:rsid w:val="323A6E2B"/>
    <w:rsid w:val="323B5CA2"/>
    <w:rsid w:val="323D1A1A"/>
    <w:rsid w:val="32432DA9"/>
    <w:rsid w:val="32470AEB"/>
    <w:rsid w:val="325C3906"/>
    <w:rsid w:val="325D20BC"/>
    <w:rsid w:val="32700042"/>
    <w:rsid w:val="32755658"/>
    <w:rsid w:val="327613D0"/>
    <w:rsid w:val="32803FFD"/>
    <w:rsid w:val="32917FB8"/>
    <w:rsid w:val="329D070B"/>
    <w:rsid w:val="32AB72CC"/>
    <w:rsid w:val="32B55A55"/>
    <w:rsid w:val="32C043F9"/>
    <w:rsid w:val="32C20171"/>
    <w:rsid w:val="32D14858"/>
    <w:rsid w:val="32D3237F"/>
    <w:rsid w:val="32E4458C"/>
    <w:rsid w:val="32EC51EE"/>
    <w:rsid w:val="32F12805"/>
    <w:rsid w:val="33042538"/>
    <w:rsid w:val="330662B0"/>
    <w:rsid w:val="330D4DDF"/>
    <w:rsid w:val="33136C1F"/>
    <w:rsid w:val="331704BD"/>
    <w:rsid w:val="3317784C"/>
    <w:rsid w:val="33185FE3"/>
    <w:rsid w:val="332C1A8F"/>
    <w:rsid w:val="33590AD6"/>
    <w:rsid w:val="335A65FC"/>
    <w:rsid w:val="33641229"/>
    <w:rsid w:val="3381002D"/>
    <w:rsid w:val="338565CE"/>
    <w:rsid w:val="33955886"/>
    <w:rsid w:val="33956111"/>
    <w:rsid w:val="339733AC"/>
    <w:rsid w:val="339A10EE"/>
    <w:rsid w:val="339A2E9C"/>
    <w:rsid w:val="339F04B3"/>
    <w:rsid w:val="33AA1077"/>
    <w:rsid w:val="33B2468A"/>
    <w:rsid w:val="33B26438"/>
    <w:rsid w:val="33B421B0"/>
    <w:rsid w:val="33BC2E13"/>
    <w:rsid w:val="33C543BD"/>
    <w:rsid w:val="33D4015C"/>
    <w:rsid w:val="33E15139"/>
    <w:rsid w:val="33E52369"/>
    <w:rsid w:val="33EF4F96"/>
    <w:rsid w:val="33F407FF"/>
    <w:rsid w:val="33FC76B3"/>
    <w:rsid w:val="34076784"/>
    <w:rsid w:val="341C1B03"/>
    <w:rsid w:val="34256C0A"/>
    <w:rsid w:val="34257EE7"/>
    <w:rsid w:val="342A73B3"/>
    <w:rsid w:val="342C7F98"/>
    <w:rsid w:val="342D6ABB"/>
    <w:rsid w:val="34321327"/>
    <w:rsid w:val="343969A2"/>
    <w:rsid w:val="34586FDF"/>
    <w:rsid w:val="346559BF"/>
    <w:rsid w:val="346911EC"/>
    <w:rsid w:val="34781430"/>
    <w:rsid w:val="347A51A8"/>
    <w:rsid w:val="347E456C"/>
    <w:rsid w:val="34821AD6"/>
    <w:rsid w:val="348778C5"/>
    <w:rsid w:val="348A2F11"/>
    <w:rsid w:val="348D09A6"/>
    <w:rsid w:val="348F0527"/>
    <w:rsid w:val="348F22D5"/>
    <w:rsid w:val="34916002"/>
    <w:rsid w:val="349937BF"/>
    <w:rsid w:val="349D2C44"/>
    <w:rsid w:val="349D49F2"/>
    <w:rsid w:val="34B02D86"/>
    <w:rsid w:val="34B14942"/>
    <w:rsid w:val="34B41D3C"/>
    <w:rsid w:val="34BA1A48"/>
    <w:rsid w:val="34C75F13"/>
    <w:rsid w:val="34DB19BE"/>
    <w:rsid w:val="34E02B31"/>
    <w:rsid w:val="34E16FD5"/>
    <w:rsid w:val="34E24AFB"/>
    <w:rsid w:val="34F87313"/>
    <w:rsid w:val="35094B0E"/>
    <w:rsid w:val="350F723F"/>
    <w:rsid w:val="351D3D85"/>
    <w:rsid w:val="35260FC4"/>
    <w:rsid w:val="352E5F92"/>
    <w:rsid w:val="35352E7D"/>
    <w:rsid w:val="353A0493"/>
    <w:rsid w:val="353A66E5"/>
    <w:rsid w:val="353F2119"/>
    <w:rsid w:val="354237EC"/>
    <w:rsid w:val="35441312"/>
    <w:rsid w:val="354D6418"/>
    <w:rsid w:val="3550313F"/>
    <w:rsid w:val="355F7EFA"/>
    <w:rsid w:val="356216B8"/>
    <w:rsid w:val="356814A4"/>
    <w:rsid w:val="35690D78"/>
    <w:rsid w:val="3584290B"/>
    <w:rsid w:val="35876A57"/>
    <w:rsid w:val="358B1108"/>
    <w:rsid w:val="35935DF5"/>
    <w:rsid w:val="35C12962"/>
    <w:rsid w:val="35C366DA"/>
    <w:rsid w:val="35EB19AF"/>
    <w:rsid w:val="35EF3A10"/>
    <w:rsid w:val="35F06330"/>
    <w:rsid w:val="35F8354B"/>
    <w:rsid w:val="35FC5E78"/>
    <w:rsid w:val="3600792F"/>
    <w:rsid w:val="36252EF1"/>
    <w:rsid w:val="362B4280"/>
    <w:rsid w:val="362D7FF8"/>
    <w:rsid w:val="36394BEF"/>
    <w:rsid w:val="363C023B"/>
    <w:rsid w:val="365732C7"/>
    <w:rsid w:val="365D3F21"/>
    <w:rsid w:val="36674C84"/>
    <w:rsid w:val="366D4898"/>
    <w:rsid w:val="36723C5D"/>
    <w:rsid w:val="368340BC"/>
    <w:rsid w:val="36853990"/>
    <w:rsid w:val="368A71F8"/>
    <w:rsid w:val="36941E25"/>
    <w:rsid w:val="3699743B"/>
    <w:rsid w:val="36A858D0"/>
    <w:rsid w:val="36B20052"/>
    <w:rsid w:val="36B6623F"/>
    <w:rsid w:val="36BE6EA2"/>
    <w:rsid w:val="36C941C4"/>
    <w:rsid w:val="36CC5A63"/>
    <w:rsid w:val="36D30B9F"/>
    <w:rsid w:val="36DE12F2"/>
    <w:rsid w:val="36E36908"/>
    <w:rsid w:val="36F154C9"/>
    <w:rsid w:val="36F80606"/>
    <w:rsid w:val="36F823B4"/>
    <w:rsid w:val="36F86858"/>
    <w:rsid w:val="36FF7BE6"/>
    <w:rsid w:val="37040D59"/>
    <w:rsid w:val="370E7E29"/>
    <w:rsid w:val="371C6CFF"/>
    <w:rsid w:val="371D006C"/>
    <w:rsid w:val="372E5DD5"/>
    <w:rsid w:val="37321D6A"/>
    <w:rsid w:val="37490126"/>
    <w:rsid w:val="3756532C"/>
    <w:rsid w:val="375B2943"/>
    <w:rsid w:val="37667C65"/>
    <w:rsid w:val="37734130"/>
    <w:rsid w:val="37757EA8"/>
    <w:rsid w:val="377759CE"/>
    <w:rsid w:val="377C2FE5"/>
    <w:rsid w:val="3790083E"/>
    <w:rsid w:val="37974852"/>
    <w:rsid w:val="379B110E"/>
    <w:rsid w:val="37A97B52"/>
    <w:rsid w:val="37B7226F"/>
    <w:rsid w:val="37C8447C"/>
    <w:rsid w:val="37CB5D1A"/>
    <w:rsid w:val="37D42E21"/>
    <w:rsid w:val="37DC3A83"/>
    <w:rsid w:val="37FF59C4"/>
    <w:rsid w:val="3805122C"/>
    <w:rsid w:val="38084878"/>
    <w:rsid w:val="381274A5"/>
    <w:rsid w:val="381476C1"/>
    <w:rsid w:val="381551E7"/>
    <w:rsid w:val="38163439"/>
    <w:rsid w:val="382C4A0B"/>
    <w:rsid w:val="38342E9A"/>
    <w:rsid w:val="38423802"/>
    <w:rsid w:val="3842549E"/>
    <w:rsid w:val="386121DB"/>
    <w:rsid w:val="386A72E1"/>
    <w:rsid w:val="38746B20"/>
    <w:rsid w:val="387939C8"/>
    <w:rsid w:val="387A58E0"/>
    <w:rsid w:val="38806B05"/>
    <w:rsid w:val="38922426"/>
    <w:rsid w:val="38991974"/>
    <w:rsid w:val="389B56ED"/>
    <w:rsid w:val="38A8605B"/>
    <w:rsid w:val="38AA5930"/>
    <w:rsid w:val="38BB18EB"/>
    <w:rsid w:val="38CA4224"/>
    <w:rsid w:val="38CF5396"/>
    <w:rsid w:val="38D97FC3"/>
    <w:rsid w:val="38EA6674"/>
    <w:rsid w:val="38F372D7"/>
    <w:rsid w:val="38F80D91"/>
    <w:rsid w:val="390412B7"/>
    <w:rsid w:val="39167469"/>
    <w:rsid w:val="39225E0E"/>
    <w:rsid w:val="39227BBC"/>
    <w:rsid w:val="392C0A3B"/>
    <w:rsid w:val="39363667"/>
    <w:rsid w:val="393D49F6"/>
    <w:rsid w:val="39447B32"/>
    <w:rsid w:val="395A1104"/>
    <w:rsid w:val="395A7356"/>
    <w:rsid w:val="396957EB"/>
    <w:rsid w:val="3971469F"/>
    <w:rsid w:val="397228F1"/>
    <w:rsid w:val="397F1976"/>
    <w:rsid w:val="39897C3B"/>
    <w:rsid w:val="398B750F"/>
    <w:rsid w:val="399D5494"/>
    <w:rsid w:val="39A71E6F"/>
    <w:rsid w:val="39A75445"/>
    <w:rsid w:val="39A75836"/>
    <w:rsid w:val="39A8451C"/>
    <w:rsid w:val="39A84565"/>
    <w:rsid w:val="39A93E39"/>
    <w:rsid w:val="39A95BE7"/>
    <w:rsid w:val="39B27192"/>
    <w:rsid w:val="39BE5B37"/>
    <w:rsid w:val="39C50DBF"/>
    <w:rsid w:val="39C96289"/>
    <w:rsid w:val="39D24225"/>
    <w:rsid w:val="39D32C64"/>
    <w:rsid w:val="39D37108"/>
    <w:rsid w:val="39E3559D"/>
    <w:rsid w:val="39E76710"/>
    <w:rsid w:val="3A0B0650"/>
    <w:rsid w:val="3A0D261A"/>
    <w:rsid w:val="3A0F6392"/>
    <w:rsid w:val="3A1E0383"/>
    <w:rsid w:val="3A1E65D5"/>
    <w:rsid w:val="3A1F40FB"/>
    <w:rsid w:val="3A257964"/>
    <w:rsid w:val="3A2F07E2"/>
    <w:rsid w:val="3A2F6D7D"/>
    <w:rsid w:val="3A355331"/>
    <w:rsid w:val="3A3A7D13"/>
    <w:rsid w:val="3A414072"/>
    <w:rsid w:val="3A465B2C"/>
    <w:rsid w:val="3A483652"/>
    <w:rsid w:val="3A485400"/>
    <w:rsid w:val="3A4F2C33"/>
    <w:rsid w:val="3A540249"/>
    <w:rsid w:val="3A571AE7"/>
    <w:rsid w:val="3A5B15D7"/>
    <w:rsid w:val="3A633EFE"/>
    <w:rsid w:val="3A751F6D"/>
    <w:rsid w:val="3A7B3A28"/>
    <w:rsid w:val="3A886145"/>
    <w:rsid w:val="3A922B1F"/>
    <w:rsid w:val="3AB962FE"/>
    <w:rsid w:val="3ABB2076"/>
    <w:rsid w:val="3AC276DC"/>
    <w:rsid w:val="3AC61623"/>
    <w:rsid w:val="3ACD1DA9"/>
    <w:rsid w:val="3ADE5D64"/>
    <w:rsid w:val="3B0954D1"/>
    <w:rsid w:val="3B163750"/>
    <w:rsid w:val="3B1F5D8D"/>
    <w:rsid w:val="3B20637D"/>
    <w:rsid w:val="3B4C7172"/>
    <w:rsid w:val="3B4E4C98"/>
    <w:rsid w:val="3B514788"/>
    <w:rsid w:val="3B622F0D"/>
    <w:rsid w:val="3B660234"/>
    <w:rsid w:val="3B6F0FCC"/>
    <w:rsid w:val="3B974891"/>
    <w:rsid w:val="3B9823B7"/>
    <w:rsid w:val="3BB645EB"/>
    <w:rsid w:val="3BC23DE8"/>
    <w:rsid w:val="3BC35686"/>
    <w:rsid w:val="3BC60CD2"/>
    <w:rsid w:val="3BC96A15"/>
    <w:rsid w:val="3BD81844"/>
    <w:rsid w:val="3BE253E0"/>
    <w:rsid w:val="3BE86E9B"/>
    <w:rsid w:val="3BEB24E7"/>
    <w:rsid w:val="3BF375EE"/>
    <w:rsid w:val="3C0435A9"/>
    <w:rsid w:val="3C16166D"/>
    <w:rsid w:val="3C4A598C"/>
    <w:rsid w:val="3C4D13F4"/>
    <w:rsid w:val="3C574020"/>
    <w:rsid w:val="3C680681"/>
    <w:rsid w:val="3C6D73A0"/>
    <w:rsid w:val="3C7076A7"/>
    <w:rsid w:val="3C85293C"/>
    <w:rsid w:val="3C885F88"/>
    <w:rsid w:val="3C897F0F"/>
    <w:rsid w:val="3C9E1C4F"/>
    <w:rsid w:val="3C9E39FD"/>
    <w:rsid w:val="3CAB1C76"/>
    <w:rsid w:val="3CAB7EC8"/>
    <w:rsid w:val="3CB054DF"/>
    <w:rsid w:val="3CB11983"/>
    <w:rsid w:val="3CB74ABF"/>
    <w:rsid w:val="3CB925E5"/>
    <w:rsid w:val="3CBA010B"/>
    <w:rsid w:val="3CBE19AA"/>
    <w:rsid w:val="3CCC056A"/>
    <w:rsid w:val="3CE27D8E"/>
    <w:rsid w:val="3CE60F00"/>
    <w:rsid w:val="3CF90C34"/>
    <w:rsid w:val="3CFE26EE"/>
    <w:rsid w:val="3D1E4B3E"/>
    <w:rsid w:val="3D29776B"/>
    <w:rsid w:val="3D2F28A7"/>
    <w:rsid w:val="3D346110"/>
    <w:rsid w:val="3D491BBB"/>
    <w:rsid w:val="3D4A5933"/>
    <w:rsid w:val="3D4F2F4A"/>
    <w:rsid w:val="3D601969"/>
    <w:rsid w:val="3D673DEF"/>
    <w:rsid w:val="3D687B67"/>
    <w:rsid w:val="3D7048F2"/>
    <w:rsid w:val="3D712EC0"/>
    <w:rsid w:val="3D7529B0"/>
    <w:rsid w:val="3D7F55DD"/>
    <w:rsid w:val="3D85696B"/>
    <w:rsid w:val="3D9D5A63"/>
    <w:rsid w:val="3DA037A5"/>
    <w:rsid w:val="3DAA3287"/>
    <w:rsid w:val="3DB00644"/>
    <w:rsid w:val="3DCB25D0"/>
    <w:rsid w:val="3DD3692C"/>
    <w:rsid w:val="3DD5344F"/>
    <w:rsid w:val="3DD82F3F"/>
    <w:rsid w:val="3DDD0555"/>
    <w:rsid w:val="3DDE2232"/>
    <w:rsid w:val="3DE713D4"/>
    <w:rsid w:val="3DEB2C72"/>
    <w:rsid w:val="3DF32C30"/>
    <w:rsid w:val="3E063608"/>
    <w:rsid w:val="3E0B4FC9"/>
    <w:rsid w:val="3E1000F5"/>
    <w:rsid w:val="3E2B306F"/>
    <w:rsid w:val="3E442382"/>
    <w:rsid w:val="3E4660FB"/>
    <w:rsid w:val="3E5720B6"/>
    <w:rsid w:val="3E5A7DF8"/>
    <w:rsid w:val="3E5B7AE8"/>
    <w:rsid w:val="3E642A25"/>
    <w:rsid w:val="3E88226F"/>
    <w:rsid w:val="3E907376"/>
    <w:rsid w:val="3EA3328C"/>
    <w:rsid w:val="3EAB0654"/>
    <w:rsid w:val="3EAE3C87"/>
    <w:rsid w:val="3ECF4342"/>
    <w:rsid w:val="3ED834A9"/>
    <w:rsid w:val="3EE6168C"/>
    <w:rsid w:val="3EEC6CA2"/>
    <w:rsid w:val="3EF142B8"/>
    <w:rsid w:val="3EF45B57"/>
    <w:rsid w:val="3EF73899"/>
    <w:rsid w:val="3EF75647"/>
    <w:rsid w:val="3EFE4C27"/>
    <w:rsid w:val="3F0763D8"/>
    <w:rsid w:val="3F1B4469"/>
    <w:rsid w:val="3F1B484E"/>
    <w:rsid w:val="3F2521B4"/>
    <w:rsid w:val="3F2F35E8"/>
    <w:rsid w:val="3F417009"/>
    <w:rsid w:val="3F4343E8"/>
    <w:rsid w:val="3F5E0662"/>
    <w:rsid w:val="3F6031EC"/>
    <w:rsid w:val="3F903FA0"/>
    <w:rsid w:val="3F9A748B"/>
    <w:rsid w:val="3F9D36D7"/>
    <w:rsid w:val="3FBD419A"/>
    <w:rsid w:val="3FCC0881"/>
    <w:rsid w:val="3FD339BE"/>
    <w:rsid w:val="3FDF05B5"/>
    <w:rsid w:val="3FE43F1C"/>
    <w:rsid w:val="3FE71217"/>
    <w:rsid w:val="3FF81676"/>
    <w:rsid w:val="3FFA0F65"/>
    <w:rsid w:val="3FFA719D"/>
    <w:rsid w:val="401A060A"/>
    <w:rsid w:val="4023022C"/>
    <w:rsid w:val="40396DBD"/>
    <w:rsid w:val="403F763E"/>
    <w:rsid w:val="40526FD9"/>
    <w:rsid w:val="40642868"/>
    <w:rsid w:val="40714F85"/>
    <w:rsid w:val="4077191D"/>
    <w:rsid w:val="407927B7"/>
    <w:rsid w:val="407978E4"/>
    <w:rsid w:val="407A02DD"/>
    <w:rsid w:val="407A6D2B"/>
    <w:rsid w:val="407C22A8"/>
    <w:rsid w:val="40852AB5"/>
    <w:rsid w:val="409A44DC"/>
    <w:rsid w:val="409C0254"/>
    <w:rsid w:val="40B3559D"/>
    <w:rsid w:val="40BE641C"/>
    <w:rsid w:val="40CA3013"/>
    <w:rsid w:val="40DE261A"/>
    <w:rsid w:val="40E8793D"/>
    <w:rsid w:val="40EB11DB"/>
    <w:rsid w:val="40ED4F53"/>
    <w:rsid w:val="40F57964"/>
    <w:rsid w:val="40F93D73"/>
    <w:rsid w:val="40FF07E3"/>
    <w:rsid w:val="41032081"/>
    <w:rsid w:val="41032592"/>
    <w:rsid w:val="410B53D9"/>
    <w:rsid w:val="411A73CB"/>
    <w:rsid w:val="411C1395"/>
    <w:rsid w:val="41202C33"/>
    <w:rsid w:val="412053B5"/>
    <w:rsid w:val="412344D1"/>
    <w:rsid w:val="41285F8B"/>
    <w:rsid w:val="413B4DE9"/>
    <w:rsid w:val="41412BA9"/>
    <w:rsid w:val="41434B73"/>
    <w:rsid w:val="414F176A"/>
    <w:rsid w:val="41594397"/>
    <w:rsid w:val="415B3C6B"/>
    <w:rsid w:val="41656898"/>
    <w:rsid w:val="41764F49"/>
    <w:rsid w:val="41977365"/>
    <w:rsid w:val="41A25D3E"/>
    <w:rsid w:val="41A970CC"/>
    <w:rsid w:val="41BD4926"/>
    <w:rsid w:val="41D900B3"/>
    <w:rsid w:val="41E40104"/>
    <w:rsid w:val="41E55D83"/>
    <w:rsid w:val="41EA1493"/>
    <w:rsid w:val="41F1637D"/>
    <w:rsid w:val="41F63994"/>
    <w:rsid w:val="41FF4F3E"/>
    <w:rsid w:val="420330D8"/>
    <w:rsid w:val="420F4A55"/>
    <w:rsid w:val="42132798"/>
    <w:rsid w:val="422229DB"/>
    <w:rsid w:val="42276243"/>
    <w:rsid w:val="42293D69"/>
    <w:rsid w:val="422C1AAB"/>
    <w:rsid w:val="42336996"/>
    <w:rsid w:val="423B3A9C"/>
    <w:rsid w:val="42470693"/>
    <w:rsid w:val="42577E71"/>
    <w:rsid w:val="425A03C6"/>
    <w:rsid w:val="42674891"/>
    <w:rsid w:val="42723962"/>
    <w:rsid w:val="4278084D"/>
    <w:rsid w:val="427B20EB"/>
    <w:rsid w:val="427C658F"/>
    <w:rsid w:val="4286740D"/>
    <w:rsid w:val="42872C3E"/>
    <w:rsid w:val="42894808"/>
    <w:rsid w:val="4294608E"/>
    <w:rsid w:val="42A41642"/>
    <w:rsid w:val="42B771F3"/>
    <w:rsid w:val="42CB1909"/>
    <w:rsid w:val="42D31F27"/>
    <w:rsid w:val="42D87FBC"/>
    <w:rsid w:val="42DC702D"/>
    <w:rsid w:val="42F36125"/>
    <w:rsid w:val="42F44377"/>
    <w:rsid w:val="42F51E9D"/>
    <w:rsid w:val="430640AA"/>
    <w:rsid w:val="43087E22"/>
    <w:rsid w:val="432E715D"/>
    <w:rsid w:val="43317379"/>
    <w:rsid w:val="434626F9"/>
    <w:rsid w:val="43516679"/>
    <w:rsid w:val="436F39FE"/>
    <w:rsid w:val="43746899"/>
    <w:rsid w:val="438B7C9A"/>
    <w:rsid w:val="439416B6"/>
    <w:rsid w:val="43994F1E"/>
    <w:rsid w:val="43A80260"/>
    <w:rsid w:val="43B00525"/>
    <w:rsid w:val="43B14016"/>
    <w:rsid w:val="43C55D14"/>
    <w:rsid w:val="43CC0E50"/>
    <w:rsid w:val="43CC374D"/>
    <w:rsid w:val="43D561DF"/>
    <w:rsid w:val="43E50164"/>
    <w:rsid w:val="43E97C54"/>
    <w:rsid w:val="43EA577A"/>
    <w:rsid w:val="43EE7018"/>
    <w:rsid w:val="44024872"/>
    <w:rsid w:val="440700DA"/>
    <w:rsid w:val="44095C00"/>
    <w:rsid w:val="44110F59"/>
    <w:rsid w:val="441F5424"/>
    <w:rsid w:val="44216EB8"/>
    <w:rsid w:val="44250560"/>
    <w:rsid w:val="44262384"/>
    <w:rsid w:val="442962A2"/>
    <w:rsid w:val="44315157"/>
    <w:rsid w:val="44392A6D"/>
    <w:rsid w:val="443F1622"/>
    <w:rsid w:val="44415E48"/>
    <w:rsid w:val="444E7AB7"/>
    <w:rsid w:val="445A2900"/>
    <w:rsid w:val="445E32F8"/>
    <w:rsid w:val="446217B4"/>
    <w:rsid w:val="44823C05"/>
    <w:rsid w:val="4484797D"/>
    <w:rsid w:val="448B0D0B"/>
    <w:rsid w:val="44915BF6"/>
    <w:rsid w:val="44A5335B"/>
    <w:rsid w:val="44B26298"/>
    <w:rsid w:val="44BC0EC5"/>
    <w:rsid w:val="44DA759D"/>
    <w:rsid w:val="44DF2AD6"/>
    <w:rsid w:val="44E0335C"/>
    <w:rsid w:val="44E65F41"/>
    <w:rsid w:val="44E81CBA"/>
    <w:rsid w:val="44EE4DF6"/>
    <w:rsid w:val="44F20D8A"/>
    <w:rsid w:val="44FA19ED"/>
    <w:rsid w:val="450B59A8"/>
    <w:rsid w:val="45196317"/>
    <w:rsid w:val="451C1963"/>
    <w:rsid w:val="451E56DB"/>
    <w:rsid w:val="45202CEC"/>
    <w:rsid w:val="45321187"/>
    <w:rsid w:val="45352A25"/>
    <w:rsid w:val="45366C08"/>
    <w:rsid w:val="454A4722"/>
    <w:rsid w:val="45513D03"/>
    <w:rsid w:val="45541CEF"/>
    <w:rsid w:val="455C4456"/>
    <w:rsid w:val="45617CBE"/>
    <w:rsid w:val="45761609"/>
    <w:rsid w:val="45796DB6"/>
    <w:rsid w:val="457C2402"/>
    <w:rsid w:val="45806396"/>
    <w:rsid w:val="458115B6"/>
    <w:rsid w:val="4582210E"/>
    <w:rsid w:val="45833180"/>
    <w:rsid w:val="45863281"/>
    <w:rsid w:val="458D4D8A"/>
    <w:rsid w:val="458F0387"/>
    <w:rsid w:val="4597723C"/>
    <w:rsid w:val="45A57BAB"/>
    <w:rsid w:val="45B47DEE"/>
    <w:rsid w:val="45C81AEB"/>
    <w:rsid w:val="45E16709"/>
    <w:rsid w:val="45EA6E49"/>
    <w:rsid w:val="45F4643C"/>
    <w:rsid w:val="45FF375F"/>
    <w:rsid w:val="460352CA"/>
    <w:rsid w:val="46222FA9"/>
    <w:rsid w:val="46244F73"/>
    <w:rsid w:val="462907DC"/>
    <w:rsid w:val="463D6035"/>
    <w:rsid w:val="463F7FFF"/>
    <w:rsid w:val="464366DE"/>
    <w:rsid w:val="4646138E"/>
    <w:rsid w:val="464C5BD7"/>
    <w:rsid w:val="464C6278"/>
    <w:rsid w:val="4659191C"/>
    <w:rsid w:val="465F4235"/>
    <w:rsid w:val="466C06C8"/>
    <w:rsid w:val="466C2476"/>
    <w:rsid w:val="46712183"/>
    <w:rsid w:val="46753A21"/>
    <w:rsid w:val="467A1B62"/>
    <w:rsid w:val="467F21AA"/>
    <w:rsid w:val="469A6FE4"/>
    <w:rsid w:val="46C47E80"/>
    <w:rsid w:val="46DD3374"/>
    <w:rsid w:val="46DE1143"/>
    <w:rsid w:val="46E22739"/>
    <w:rsid w:val="46E760AC"/>
    <w:rsid w:val="46EE10DD"/>
    <w:rsid w:val="47017063"/>
    <w:rsid w:val="47041FB4"/>
    <w:rsid w:val="47106EE2"/>
    <w:rsid w:val="47150D60"/>
    <w:rsid w:val="471A1ED2"/>
    <w:rsid w:val="4723347D"/>
    <w:rsid w:val="47264D1B"/>
    <w:rsid w:val="472D60AA"/>
    <w:rsid w:val="473016F6"/>
    <w:rsid w:val="473C3773"/>
    <w:rsid w:val="47484C91"/>
    <w:rsid w:val="47490A0A"/>
    <w:rsid w:val="4755115C"/>
    <w:rsid w:val="47576C52"/>
    <w:rsid w:val="475E2707"/>
    <w:rsid w:val="477535AD"/>
    <w:rsid w:val="47885E58"/>
    <w:rsid w:val="479223B1"/>
    <w:rsid w:val="47971775"/>
    <w:rsid w:val="47B42327"/>
    <w:rsid w:val="47B71E17"/>
    <w:rsid w:val="47BB30B4"/>
    <w:rsid w:val="47BB36B5"/>
    <w:rsid w:val="47C63F1B"/>
    <w:rsid w:val="47C84688"/>
    <w:rsid w:val="47C85DD2"/>
    <w:rsid w:val="47CE2C39"/>
    <w:rsid w:val="47D93B3C"/>
    <w:rsid w:val="47DD7AD0"/>
    <w:rsid w:val="47E04ECA"/>
    <w:rsid w:val="47E50732"/>
    <w:rsid w:val="47FB1D04"/>
    <w:rsid w:val="47FC5A7C"/>
    <w:rsid w:val="480E4213"/>
    <w:rsid w:val="482642B5"/>
    <w:rsid w:val="48270D4B"/>
    <w:rsid w:val="482A0307"/>
    <w:rsid w:val="484511D1"/>
    <w:rsid w:val="48455675"/>
    <w:rsid w:val="48496F13"/>
    <w:rsid w:val="4860425D"/>
    <w:rsid w:val="4867383D"/>
    <w:rsid w:val="48710218"/>
    <w:rsid w:val="487B2E45"/>
    <w:rsid w:val="48831CF9"/>
    <w:rsid w:val="48853CC3"/>
    <w:rsid w:val="488717E9"/>
    <w:rsid w:val="48895562"/>
    <w:rsid w:val="488F069E"/>
    <w:rsid w:val="488F68F0"/>
    <w:rsid w:val="48967C7F"/>
    <w:rsid w:val="489B7043"/>
    <w:rsid w:val="48A26623"/>
    <w:rsid w:val="48AC1250"/>
    <w:rsid w:val="48AC1893"/>
    <w:rsid w:val="48BF5427"/>
    <w:rsid w:val="48C04CFB"/>
    <w:rsid w:val="48C22822"/>
    <w:rsid w:val="48CC18F2"/>
    <w:rsid w:val="48D16F09"/>
    <w:rsid w:val="48D45D77"/>
    <w:rsid w:val="48DA400F"/>
    <w:rsid w:val="48E0229A"/>
    <w:rsid w:val="48E42798"/>
    <w:rsid w:val="48EB7FCA"/>
    <w:rsid w:val="4904108C"/>
    <w:rsid w:val="492B486B"/>
    <w:rsid w:val="492E6109"/>
    <w:rsid w:val="493059DD"/>
    <w:rsid w:val="493A2D00"/>
    <w:rsid w:val="493F3E72"/>
    <w:rsid w:val="495A19E6"/>
    <w:rsid w:val="4961028C"/>
    <w:rsid w:val="49731D6E"/>
    <w:rsid w:val="497D499A"/>
    <w:rsid w:val="49856524"/>
    <w:rsid w:val="49880C8F"/>
    <w:rsid w:val="49906E35"/>
    <w:rsid w:val="499C3073"/>
    <w:rsid w:val="49A90C47"/>
    <w:rsid w:val="49AD5280"/>
    <w:rsid w:val="49B44860"/>
    <w:rsid w:val="49C10D2B"/>
    <w:rsid w:val="49D00F6E"/>
    <w:rsid w:val="49D66F2C"/>
    <w:rsid w:val="49E8450A"/>
    <w:rsid w:val="49F033BE"/>
    <w:rsid w:val="4A1C0855"/>
    <w:rsid w:val="4A1D0657"/>
    <w:rsid w:val="4A205A52"/>
    <w:rsid w:val="4A227A1C"/>
    <w:rsid w:val="4A3414FD"/>
    <w:rsid w:val="4A361719"/>
    <w:rsid w:val="4A4200BE"/>
    <w:rsid w:val="4A4C6847"/>
    <w:rsid w:val="4A4F27DB"/>
    <w:rsid w:val="4A534079"/>
    <w:rsid w:val="4A563B69"/>
    <w:rsid w:val="4A673681"/>
    <w:rsid w:val="4A6F69D9"/>
    <w:rsid w:val="4A8E0ECE"/>
    <w:rsid w:val="4A9A7119"/>
    <w:rsid w:val="4A9D52F4"/>
    <w:rsid w:val="4AA03036"/>
    <w:rsid w:val="4AB33EB5"/>
    <w:rsid w:val="4AB34B18"/>
    <w:rsid w:val="4AB60164"/>
    <w:rsid w:val="4ABA5EA6"/>
    <w:rsid w:val="4ABA71E2"/>
    <w:rsid w:val="4ABB577A"/>
    <w:rsid w:val="4AC02575"/>
    <w:rsid w:val="4ADF76BB"/>
    <w:rsid w:val="4AE747C1"/>
    <w:rsid w:val="4AE7656F"/>
    <w:rsid w:val="4AF34F14"/>
    <w:rsid w:val="4B187FB9"/>
    <w:rsid w:val="4B1C090F"/>
    <w:rsid w:val="4B1F5D09"/>
    <w:rsid w:val="4B29302C"/>
    <w:rsid w:val="4B2D6177"/>
    <w:rsid w:val="4B3D6AD7"/>
    <w:rsid w:val="4B515E20"/>
    <w:rsid w:val="4B5C51AF"/>
    <w:rsid w:val="4B6422B6"/>
    <w:rsid w:val="4B69167A"/>
    <w:rsid w:val="4B6B0F4E"/>
    <w:rsid w:val="4B6B4C64"/>
    <w:rsid w:val="4B7C0DDC"/>
    <w:rsid w:val="4B7C315C"/>
    <w:rsid w:val="4B842010"/>
    <w:rsid w:val="4B8B339F"/>
    <w:rsid w:val="4B944949"/>
    <w:rsid w:val="4B9F28EF"/>
    <w:rsid w:val="4BA34B8C"/>
    <w:rsid w:val="4BA40904"/>
    <w:rsid w:val="4BA523E9"/>
    <w:rsid w:val="4BA6642B"/>
    <w:rsid w:val="4BB70638"/>
    <w:rsid w:val="4BB943B0"/>
    <w:rsid w:val="4BBF129A"/>
    <w:rsid w:val="4BCD1C09"/>
    <w:rsid w:val="4BD016F9"/>
    <w:rsid w:val="4BF90C50"/>
    <w:rsid w:val="4BF947AC"/>
    <w:rsid w:val="4BFB49C8"/>
    <w:rsid w:val="4C066EC9"/>
    <w:rsid w:val="4C15535E"/>
    <w:rsid w:val="4C286E40"/>
    <w:rsid w:val="4C371778"/>
    <w:rsid w:val="4C39104D"/>
    <w:rsid w:val="4C3C319E"/>
    <w:rsid w:val="4C4874E2"/>
    <w:rsid w:val="4C55765E"/>
    <w:rsid w:val="4C63431C"/>
    <w:rsid w:val="4C671B09"/>
    <w:rsid w:val="4C6C31D0"/>
    <w:rsid w:val="4C7107E7"/>
    <w:rsid w:val="4C7327B1"/>
    <w:rsid w:val="4C8D3147"/>
    <w:rsid w:val="4CA46E0E"/>
    <w:rsid w:val="4CAB7478"/>
    <w:rsid w:val="4CB30DFF"/>
    <w:rsid w:val="4CB608EF"/>
    <w:rsid w:val="4CBA5FC9"/>
    <w:rsid w:val="4CBB4158"/>
    <w:rsid w:val="4CBD2C42"/>
    <w:rsid w:val="4CE74F4D"/>
    <w:rsid w:val="4CEA362C"/>
    <w:rsid w:val="4CF65190"/>
    <w:rsid w:val="4CFE5DF2"/>
    <w:rsid w:val="4D145493"/>
    <w:rsid w:val="4D297313"/>
    <w:rsid w:val="4D333CEE"/>
    <w:rsid w:val="4D3B2BA3"/>
    <w:rsid w:val="4D4128AF"/>
    <w:rsid w:val="4D471547"/>
    <w:rsid w:val="4D4E6D7A"/>
    <w:rsid w:val="4D720CBA"/>
    <w:rsid w:val="4D73233C"/>
    <w:rsid w:val="4D754306"/>
    <w:rsid w:val="4D8C33FE"/>
    <w:rsid w:val="4D93478D"/>
    <w:rsid w:val="4D9E1AAF"/>
    <w:rsid w:val="4DA26083"/>
    <w:rsid w:val="4DA74D9E"/>
    <w:rsid w:val="4DB473F3"/>
    <w:rsid w:val="4DD96F8C"/>
    <w:rsid w:val="4DDE00FE"/>
    <w:rsid w:val="4DE84AD8"/>
    <w:rsid w:val="4DF07E31"/>
    <w:rsid w:val="4DF3347D"/>
    <w:rsid w:val="4DF416CF"/>
    <w:rsid w:val="4E031912"/>
    <w:rsid w:val="4E0A0EF3"/>
    <w:rsid w:val="4E0A1EFF"/>
    <w:rsid w:val="4E0D453F"/>
    <w:rsid w:val="4E143B1F"/>
    <w:rsid w:val="4E263853"/>
    <w:rsid w:val="4E46150C"/>
    <w:rsid w:val="4E4F0906"/>
    <w:rsid w:val="4E4F4B57"/>
    <w:rsid w:val="4E5B34FC"/>
    <w:rsid w:val="4E797E26"/>
    <w:rsid w:val="4E7D7917"/>
    <w:rsid w:val="4E833EE3"/>
    <w:rsid w:val="4E882D43"/>
    <w:rsid w:val="4E9133C2"/>
    <w:rsid w:val="4E922C96"/>
    <w:rsid w:val="4E9538C3"/>
    <w:rsid w:val="4EA34EA3"/>
    <w:rsid w:val="4EB175C0"/>
    <w:rsid w:val="4EB26E94"/>
    <w:rsid w:val="4EB3158A"/>
    <w:rsid w:val="4EB470B0"/>
    <w:rsid w:val="4EBE7F2F"/>
    <w:rsid w:val="4EC82D90"/>
    <w:rsid w:val="4EF61477"/>
    <w:rsid w:val="4F0A0A7E"/>
    <w:rsid w:val="4F147B4F"/>
    <w:rsid w:val="4F195165"/>
    <w:rsid w:val="4F1B2C8C"/>
    <w:rsid w:val="4F1E452A"/>
    <w:rsid w:val="4F2064F4"/>
    <w:rsid w:val="4F2B54C3"/>
    <w:rsid w:val="4F2E6E63"/>
    <w:rsid w:val="4F3B7F03"/>
    <w:rsid w:val="4F425205"/>
    <w:rsid w:val="4F4977F9"/>
    <w:rsid w:val="4F4C22D1"/>
    <w:rsid w:val="4F506DD9"/>
    <w:rsid w:val="4F552641"/>
    <w:rsid w:val="4F5F701C"/>
    <w:rsid w:val="4F642ABE"/>
    <w:rsid w:val="4F6C1739"/>
    <w:rsid w:val="4F6E725F"/>
    <w:rsid w:val="4F716D4F"/>
    <w:rsid w:val="4F9547EC"/>
    <w:rsid w:val="4F964BD7"/>
    <w:rsid w:val="4F980780"/>
    <w:rsid w:val="4F9F566B"/>
    <w:rsid w:val="4FA709C3"/>
    <w:rsid w:val="4FB355BA"/>
    <w:rsid w:val="4FB70C06"/>
    <w:rsid w:val="4FC27B2B"/>
    <w:rsid w:val="4FD73056"/>
    <w:rsid w:val="4FDE389E"/>
    <w:rsid w:val="4FE439C5"/>
    <w:rsid w:val="4FEE0AE5"/>
    <w:rsid w:val="4FFA6D45"/>
    <w:rsid w:val="4FFD05E3"/>
    <w:rsid w:val="4FFF246A"/>
    <w:rsid w:val="500D6A78"/>
    <w:rsid w:val="502913D8"/>
    <w:rsid w:val="50296092"/>
    <w:rsid w:val="502F2E92"/>
    <w:rsid w:val="503B1837"/>
    <w:rsid w:val="503C0C40"/>
    <w:rsid w:val="503F29AA"/>
    <w:rsid w:val="50447FC0"/>
    <w:rsid w:val="50461F8A"/>
    <w:rsid w:val="50485D02"/>
    <w:rsid w:val="50493828"/>
    <w:rsid w:val="504D5E94"/>
    <w:rsid w:val="50526B81"/>
    <w:rsid w:val="50760AC1"/>
    <w:rsid w:val="507C775A"/>
    <w:rsid w:val="508F3931"/>
    <w:rsid w:val="50903205"/>
    <w:rsid w:val="50A05B3E"/>
    <w:rsid w:val="50A849F3"/>
    <w:rsid w:val="50AC0F2E"/>
    <w:rsid w:val="50B40AA3"/>
    <w:rsid w:val="50B4131F"/>
    <w:rsid w:val="50B769E4"/>
    <w:rsid w:val="50C25AB5"/>
    <w:rsid w:val="50D2381E"/>
    <w:rsid w:val="50DB0924"/>
    <w:rsid w:val="50EC0D83"/>
    <w:rsid w:val="50EC4197"/>
    <w:rsid w:val="50EE68AA"/>
    <w:rsid w:val="50F6750C"/>
    <w:rsid w:val="50FD4E06"/>
    <w:rsid w:val="510A120A"/>
    <w:rsid w:val="51181B78"/>
    <w:rsid w:val="511856D5"/>
    <w:rsid w:val="511961A6"/>
    <w:rsid w:val="511B51C5"/>
    <w:rsid w:val="511B6F73"/>
    <w:rsid w:val="5156444F"/>
    <w:rsid w:val="51583D23"/>
    <w:rsid w:val="51586419"/>
    <w:rsid w:val="5167665C"/>
    <w:rsid w:val="516E3818"/>
    <w:rsid w:val="516F7489"/>
    <w:rsid w:val="5178776B"/>
    <w:rsid w:val="517A013D"/>
    <w:rsid w:val="517B2107"/>
    <w:rsid w:val="517B5C63"/>
    <w:rsid w:val="51844B18"/>
    <w:rsid w:val="518A40F8"/>
    <w:rsid w:val="51932FAD"/>
    <w:rsid w:val="51960CEF"/>
    <w:rsid w:val="51AF590D"/>
    <w:rsid w:val="51B178D7"/>
    <w:rsid w:val="51B3395D"/>
    <w:rsid w:val="51BA0636"/>
    <w:rsid w:val="51CC64BF"/>
    <w:rsid w:val="51CD2963"/>
    <w:rsid w:val="51DF2696"/>
    <w:rsid w:val="51DF4444"/>
    <w:rsid w:val="51E07867"/>
    <w:rsid w:val="51E41A5B"/>
    <w:rsid w:val="51E7154B"/>
    <w:rsid w:val="51ED6B61"/>
    <w:rsid w:val="51F74BD6"/>
    <w:rsid w:val="52036385"/>
    <w:rsid w:val="52043EAB"/>
    <w:rsid w:val="52045C59"/>
    <w:rsid w:val="52065E75"/>
    <w:rsid w:val="52081BED"/>
    <w:rsid w:val="520B348B"/>
    <w:rsid w:val="520E4D2A"/>
    <w:rsid w:val="522400A9"/>
    <w:rsid w:val="522B1438"/>
    <w:rsid w:val="52417145"/>
    <w:rsid w:val="524644C3"/>
    <w:rsid w:val="52472FB7"/>
    <w:rsid w:val="524A3FB4"/>
    <w:rsid w:val="52506890"/>
    <w:rsid w:val="5257047F"/>
    <w:rsid w:val="526130AB"/>
    <w:rsid w:val="526C2FEA"/>
    <w:rsid w:val="52701540"/>
    <w:rsid w:val="52734B8D"/>
    <w:rsid w:val="52741030"/>
    <w:rsid w:val="52770B21"/>
    <w:rsid w:val="527B72D6"/>
    <w:rsid w:val="527C71FB"/>
    <w:rsid w:val="527F3531"/>
    <w:rsid w:val="528D3EA0"/>
    <w:rsid w:val="52903990"/>
    <w:rsid w:val="52911BE2"/>
    <w:rsid w:val="52927709"/>
    <w:rsid w:val="529A65BD"/>
    <w:rsid w:val="52A564B9"/>
    <w:rsid w:val="52AB07CA"/>
    <w:rsid w:val="52B14033"/>
    <w:rsid w:val="52BC0EE5"/>
    <w:rsid w:val="52BC4786"/>
    <w:rsid w:val="52C17191"/>
    <w:rsid w:val="52C61160"/>
    <w:rsid w:val="52C84ED8"/>
    <w:rsid w:val="52CC2C1B"/>
    <w:rsid w:val="52D615E9"/>
    <w:rsid w:val="52E37F64"/>
    <w:rsid w:val="52F15775"/>
    <w:rsid w:val="52FB52AE"/>
    <w:rsid w:val="53057EDB"/>
    <w:rsid w:val="53086608"/>
    <w:rsid w:val="530A54F1"/>
    <w:rsid w:val="530F1F27"/>
    <w:rsid w:val="531243A6"/>
    <w:rsid w:val="531E71EE"/>
    <w:rsid w:val="53230361"/>
    <w:rsid w:val="532F6D06"/>
    <w:rsid w:val="533802B0"/>
    <w:rsid w:val="5338205E"/>
    <w:rsid w:val="53400F13"/>
    <w:rsid w:val="534704F3"/>
    <w:rsid w:val="534D53DE"/>
    <w:rsid w:val="53542C10"/>
    <w:rsid w:val="535D1AC5"/>
    <w:rsid w:val="53654E1D"/>
    <w:rsid w:val="53A5346C"/>
    <w:rsid w:val="53A5521A"/>
    <w:rsid w:val="53A839C1"/>
    <w:rsid w:val="53B4545D"/>
    <w:rsid w:val="53B8319F"/>
    <w:rsid w:val="53C20C47"/>
    <w:rsid w:val="53C438F2"/>
    <w:rsid w:val="53CB2ED2"/>
    <w:rsid w:val="53CE651E"/>
    <w:rsid w:val="53E75832"/>
    <w:rsid w:val="53E775E0"/>
    <w:rsid w:val="53EB5322"/>
    <w:rsid w:val="53F54AF8"/>
    <w:rsid w:val="54071A30"/>
    <w:rsid w:val="541505F1"/>
    <w:rsid w:val="54212E7B"/>
    <w:rsid w:val="5425751E"/>
    <w:rsid w:val="5428175B"/>
    <w:rsid w:val="543071D9"/>
    <w:rsid w:val="543A3BB4"/>
    <w:rsid w:val="543E202D"/>
    <w:rsid w:val="544607AB"/>
    <w:rsid w:val="54574766"/>
    <w:rsid w:val="545F7ABE"/>
    <w:rsid w:val="546E7D01"/>
    <w:rsid w:val="54770964"/>
    <w:rsid w:val="54790B80"/>
    <w:rsid w:val="547A0454"/>
    <w:rsid w:val="548B2716"/>
    <w:rsid w:val="54901A26"/>
    <w:rsid w:val="54905ECA"/>
    <w:rsid w:val="549239F0"/>
    <w:rsid w:val="5495703C"/>
    <w:rsid w:val="549E2395"/>
    <w:rsid w:val="54AC51AF"/>
    <w:rsid w:val="54AD082A"/>
    <w:rsid w:val="54C47921"/>
    <w:rsid w:val="54C829F5"/>
    <w:rsid w:val="54CF254E"/>
    <w:rsid w:val="54E3424B"/>
    <w:rsid w:val="54EC75A4"/>
    <w:rsid w:val="54F2448F"/>
    <w:rsid w:val="54F41FB5"/>
    <w:rsid w:val="55005A82"/>
    <w:rsid w:val="551663CF"/>
    <w:rsid w:val="551E6594"/>
    <w:rsid w:val="552B33FF"/>
    <w:rsid w:val="5536079B"/>
    <w:rsid w:val="553D0FB8"/>
    <w:rsid w:val="55466588"/>
    <w:rsid w:val="55472A2C"/>
    <w:rsid w:val="554C0043"/>
    <w:rsid w:val="55503D0D"/>
    <w:rsid w:val="55510A41"/>
    <w:rsid w:val="556F3D31"/>
    <w:rsid w:val="55733821"/>
    <w:rsid w:val="558C043F"/>
    <w:rsid w:val="558E065B"/>
    <w:rsid w:val="55A2691F"/>
    <w:rsid w:val="55AA4D69"/>
    <w:rsid w:val="55C027DF"/>
    <w:rsid w:val="55D87B28"/>
    <w:rsid w:val="55DE4600"/>
    <w:rsid w:val="55E0078B"/>
    <w:rsid w:val="55E95892"/>
    <w:rsid w:val="55ED7CAD"/>
    <w:rsid w:val="56020701"/>
    <w:rsid w:val="560721BC"/>
    <w:rsid w:val="5613290E"/>
    <w:rsid w:val="56156687"/>
    <w:rsid w:val="561843C9"/>
    <w:rsid w:val="56186177"/>
    <w:rsid w:val="56270168"/>
    <w:rsid w:val="563C38EF"/>
    <w:rsid w:val="564C5E20"/>
    <w:rsid w:val="564E1B99"/>
    <w:rsid w:val="564E3947"/>
    <w:rsid w:val="56513437"/>
    <w:rsid w:val="56582A17"/>
    <w:rsid w:val="56690780"/>
    <w:rsid w:val="56835CE6"/>
    <w:rsid w:val="56921A85"/>
    <w:rsid w:val="56951575"/>
    <w:rsid w:val="56981066"/>
    <w:rsid w:val="569C6DA8"/>
    <w:rsid w:val="56A619D5"/>
    <w:rsid w:val="56B13CD2"/>
    <w:rsid w:val="56BC2FA6"/>
    <w:rsid w:val="56C34335"/>
    <w:rsid w:val="56C37E91"/>
    <w:rsid w:val="56C66E8C"/>
    <w:rsid w:val="56D46542"/>
    <w:rsid w:val="56DF0A43"/>
    <w:rsid w:val="56E91F2B"/>
    <w:rsid w:val="56F52918"/>
    <w:rsid w:val="56FD0316"/>
    <w:rsid w:val="570404A9"/>
    <w:rsid w:val="570F30D6"/>
    <w:rsid w:val="57106E4E"/>
    <w:rsid w:val="571C0FB7"/>
    <w:rsid w:val="57250B4B"/>
    <w:rsid w:val="57362D58"/>
    <w:rsid w:val="573B211D"/>
    <w:rsid w:val="573C40E7"/>
    <w:rsid w:val="573E7E5F"/>
    <w:rsid w:val="5753390A"/>
    <w:rsid w:val="57596A47"/>
    <w:rsid w:val="57713D91"/>
    <w:rsid w:val="57763155"/>
    <w:rsid w:val="577949F3"/>
    <w:rsid w:val="577E64AD"/>
    <w:rsid w:val="578863A5"/>
    <w:rsid w:val="578C0BCA"/>
    <w:rsid w:val="578D66F1"/>
    <w:rsid w:val="578F06BB"/>
    <w:rsid w:val="57A23F4A"/>
    <w:rsid w:val="57A75A04"/>
    <w:rsid w:val="57C00874"/>
    <w:rsid w:val="57C42203"/>
    <w:rsid w:val="57C77E54"/>
    <w:rsid w:val="57C9077B"/>
    <w:rsid w:val="57CC7219"/>
    <w:rsid w:val="57D305A7"/>
    <w:rsid w:val="57D63BF4"/>
    <w:rsid w:val="57E52089"/>
    <w:rsid w:val="57F347A6"/>
    <w:rsid w:val="57F64A30"/>
    <w:rsid w:val="57F66044"/>
    <w:rsid w:val="57FB18AC"/>
    <w:rsid w:val="58240E03"/>
    <w:rsid w:val="58360B36"/>
    <w:rsid w:val="583F08F6"/>
    <w:rsid w:val="58485A69"/>
    <w:rsid w:val="5855720E"/>
    <w:rsid w:val="587A4EC7"/>
    <w:rsid w:val="58864E80"/>
    <w:rsid w:val="589C07F4"/>
    <w:rsid w:val="589D2963"/>
    <w:rsid w:val="58A03E85"/>
    <w:rsid w:val="58BC54DF"/>
    <w:rsid w:val="58BC728D"/>
    <w:rsid w:val="58C148A4"/>
    <w:rsid w:val="58C3061C"/>
    <w:rsid w:val="58C82A22"/>
    <w:rsid w:val="58CB5722"/>
    <w:rsid w:val="58DF5625"/>
    <w:rsid w:val="58ED511A"/>
    <w:rsid w:val="58EE31BF"/>
    <w:rsid w:val="58F22CAF"/>
    <w:rsid w:val="58FA1B64"/>
    <w:rsid w:val="58FB6773"/>
    <w:rsid w:val="58FC58DC"/>
    <w:rsid w:val="59060509"/>
    <w:rsid w:val="59091DA7"/>
    <w:rsid w:val="590B0FBC"/>
    <w:rsid w:val="590D7AE9"/>
    <w:rsid w:val="590E6A1A"/>
    <w:rsid w:val="592E180D"/>
    <w:rsid w:val="59301A29"/>
    <w:rsid w:val="59352B9C"/>
    <w:rsid w:val="593B4A91"/>
    <w:rsid w:val="59457283"/>
    <w:rsid w:val="5954396A"/>
    <w:rsid w:val="59570D64"/>
    <w:rsid w:val="59617E35"/>
    <w:rsid w:val="59633BAD"/>
    <w:rsid w:val="596C0CB3"/>
    <w:rsid w:val="59747B68"/>
    <w:rsid w:val="59777658"/>
    <w:rsid w:val="597D4C6F"/>
    <w:rsid w:val="59821D6E"/>
    <w:rsid w:val="59853B23"/>
    <w:rsid w:val="598649EC"/>
    <w:rsid w:val="598A2EE8"/>
    <w:rsid w:val="598D29D8"/>
    <w:rsid w:val="599A624A"/>
    <w:rsid w:val="59A209CA"/>
    <w:rsid w:val="59A26483"/>
    <w:rsid w:val="59A3044D"/>
    <w:rsid w:val="59A85A64"/>
    <w:rsid w:val="59BC506B"/>
    <w:rsid w:val="59D32AE1"/>
    <w:rsid w:val="59D52529"/>
    <w:rsid w:val="59D800F7"/>
    <w:rsid w:val="59E3084A"/>
    <w:rsid w:val="59EF4473"/>
    <w:rsid w:val="59F36CDF"/>
    <w:rsid w:val="59FD5DAF"/>
    <w:rsid w:val="5A084A8E"/>
    <w:rsid w:val="5A144EA7"/>
    <w:rsid w:val="5A19426B"/>
    <w:rsid w:val="5A1D5B0A"/>
    <w:rsid w:val="5A366BCB"/>
    <w:rsid w:val="5A455061"/>
    <w:rsid w:val="5A4C4641"/>
    <w:rsid w:val="5A503810"/>
    <w:rsid w:val="5A504131"/>
    <w:rsid w:val="5A5B23FD"/>
    <w:rsid w:val="5A5B4884"/>
    <w:rsid w:val="5A706581"/>
    <w:rsid w:val="5A753B98"/>
    <w:rsid w:val="5AA331EC"/>
    <w:rsid w:val="5AB3021C"/>
    <w:rsid w:val="5ABF41C0"/>
    <w:rsid w:val="5AC16DDD"/>
    <w:rsid w:val="5ADF7263"/>
    <w:rsid w:val="5AFA22EF"/>
    <w:rsid w:val="5B0C37B7"/>
    <w:rsid w:val="5B13515F"/>
    <w:rsid w:val="5B1F6C69"/>
    <w:rsid w:val="5B4B48F9"/>
    <w:rsid w:val="5B5437AD"/>
    <w:rsid w:val="5B547D0C"/>
    <w:rsid w:val="5B5B0FE0"/>
    <w:rsid w:val="5B6F4A8B"/>
    <w:rsid w:val="5B6F6839"/>
    <w:rsid w:val="5B70610D"/>
    <w:rsid w:val="5B773EE1"/>
    <w:rsid w:val="5B7B51DE"/>
    <w:rsid w:val="5B7F2099"/>
    <w:rsid w:val="5B841BB9"/>
    <w:rsid w:val="5B8A7C55"/>
    <w:rsid w:val="5BA557F4"/>
    <w:rsid w:val="5BB4249E"/>
    <w:rsid w:val="5BB46942"/>
    <w:rsid w:val="5BBA4BFB"/>
    <w:rsid w:val="5BCF1086"/>
    <w:rsid w:val="5BE74621"/>
    <w:rsid w:val="5BF03880"/>
    <w:rsid w:val="5BFD4FF9"/>
    <w:rsid w:val="5C0276AD"/>
    <w:rsid w:val="5C052CF9"/>
    <w:rsid w:val="5C0E3A15"/>
    <w:rsid w:val="5C115B42"/>
    <w:rsid w:val="5C1E3DBB"/>
    <w:rsid w:val="5C272C70"/>
    <w:rsid w:val="5C277114"/>
    <w:rsid w:val="5C2E04A2"/>
    <w:rsid w:val="5C361105"/>
    <w:rsid w:val="5C3B5688"/>
    <w:rsid w:val="5C3D06E5"/>
    <w:rsid w:val="5C4900A4"/>
    <w:rsid w:val="5C4C6B7A"/>
    <w:rsid w:val="5C56756F"/>
    <w:rsid w:val="5C58551F"/>
    <w:rsid w:val="5C5E240A"/>
    <w:rsid w:val="5C6B34A4"/>
    <w:rsid w:val="5C6C2D78"/>
    <w:rsid w:val="5C702869"/>
    <w:rsid w:val="5C72451B"/>
    <w:rsid w:val="5C763BF7"/>
    <w:rsid w:val="5C825F5A"/>
    <w:rsid w:val="5C8400C2"/>
    <w:rsid w:val="5C871E17"/>
    <w:rsid w:val="5CA12E61"/>
    <w:rsid w:val="5CA2679A"/>
    <w:rsid w:val="5CAC7619"/>
    <w:rsid w:val="5CC15BA8"/>
    <w:rsid w:val="5CC51454"/>
    <w:rsid w:val="5CD64696"/>
    <w:rsid w:val="5CD821BC"/>
    <w:rsid w:val="5CDD3C76"/>
    <w:rsid w:val="5CDD5A24"/>
    <w:rsid w:val="5CE172C2"/>
    <w:rsid w:val="5CE70651"/>
    <w:rsid w:val="5CF8285E"/>
    <w:rsid w:val="5D02548B"/>
    <w:rsid w:val="5D0B07E3"/>
    <w:rsid w:val="5D1321A4"/>
    <w:rsid w:val="5D1458EA"/>
    <w:rsid w:val="5D1551BE"/>
    <w:rsid w:val="5D1C02FB"/>
    <w:rsid w:val="5D1D4073"/>
    <w:rsid w:val="5D1F1DD4"/>
    <w:rsid w:val="5D243653"/>
    <w:rsid w:val="5D270C0F"/>
    <w:rsid w:val="5D2B2C34"/>
    <w:rsid w:val="5D2C42B6"/>
    <w:rsid w:val="5D325D70"/>
    <w:rsid w:val="5D3C6BEF"/>
    <w:rsid w:val="5D4D6706"/>
    <w:rsid w:val="5D5B6EE1"/>
    <w:rsid w:val="5D6E48CE"/>
    <w:rsid w:val="5D74221B"/>
    <w:rsid w:val="5D7F7540"/>
    <w:rsid w:val="5D83481E"/>
    <w:rsid w:val="5D942587"/>
    <w:rsid w:val="5DA30A1C"/>
    <w:rsid w:val="5DA54794"/>
    <w:rsid w:val="5DA64068"/>
    <w:rsid w:val="5DB52620"/>
    <w:rsid w:val="5DBA3DBB"/>
    <w:rsid w:val="5DBA530F"/>
    <w:rsid w:val="5DC80482"/>
    <w:rsid w:val="5DFD2098"/>
    <w:rsid w:val="5DFD637E"/>
    <w:rsid w:val="5E0E058B"/>
    <w:rsid w:val="5E115985"/>
    <w:rsid w:val="5E1436C8"/>
    <w:rsid w:val="5E20206C"/>
    <w:rsid w:val="5E345B18"/>
    <w:rsid w:val="5E4044BD"/>
    <w:rsid w:val="5E435D5B"/>
    <w:rsid w:val="5E5166CA"/>
    <w:rsid w:val="5E563CE0"/>
    <w:rsid w:val="5E7F3237"/>
    <w:rsid w:val="5E8343A9"/>
    <w:rsid w:val="5E8C001D"/>
    <w:rsid w:val="5EA44A4C"/>
    <w:rsid w:val="5EA73388"/>
    <w:rsid w:val="5EAB4A36"/>
    <w:rsid w:val="5EB32EE1"/>
    <w:rsid w:val="5EB50A07"/>
    <w:rsid w:val="5EB56C59"/>
    <w:rsid w:val="5EE4753E"/>
    <w:rsid w:val="5EF05EE3"/>
    <w:rsid w:val="5EF808F3"/>
    <w:rsid w:val="5EFD5F0A"/>
    <w:rsid w:val="5F090D52"/>
    <w:rsid w:val="5F0C439F"/>
    <w:rsid w:val="5F1020E1"/>
    <w:rsid w:val="5F221E14"/>
    <w:rsid w:val="5F3F4774"/>
    <w:rsid w:val="5F4E49B7"/>
    <w:rsid w:val="5F50072F"/>
    <w:rsid w:val="5F6441DB"/>
    <w:rsid w:val="5F6B5569"/>
    <w:rsid w:val="5F7D704B"/>
    <w:rsid w:val="5F8108E9"/>
    <w:rsid w:val="5F8B79B9"/>
    <w:rsid w:val="5FA10EEE"/>
    <w:rsid w:val="5FA42829"/>
    <w:rsid w:val="5FA665A1"/>
    <w:rsid w:val="5FB46F10"/>
    <w:rsid w:val="5FB76A00"/>
    <w:rsid w:val="5FC15189"/>
    <w:rsid w:val="5FE07D05"/>
    <w:rsid w:val="5FEB1311"/>
    <w:rsid w:val="5FF11F12"/>
    <w:rsid w:val="5FF7504F"/>
    <w:rsid w:val="5FFB68ED"/>
    <w:rsid w:val="600734E4"/>
    <w:rsid w:val="60086B74"/>
    <w:rsid w:val="6017749F"/>
    <w:rsid w:val="601856F1"/>
    <w:rsid w:val="602045A6"/>
    <w:rsid w:val="6028759E"/>
    <w:rsid w:val="603718EF"/>
    <w:rsid w:val="603911C4"/>
    <w:rsid w:val="603D6F06"/>
    <w:rsid w:val="604A1623"/>
    <w:rsid w:val="605361E2"/>
    <w:rsid w:val="605F4603"/>
    <w:rsid w:val="605F6017"/>
    <w:rsid w:val="60600E46"/>
    <w:rsid w:val="60687CFB"/>
    <w:rsid w:val="60690EBA"/>
    <w:rsid w:val="606A5821"/>
    <w:rsid w:val="606F2E37"/>
    <w:rsid w:val="607B17DC"/>
    <w:rsid w:val="607B7A2E"/>
    <w:rsid w:val="607E751E"/>
    <w:rsid w:val="60843D30"/>
    <w:rsid w:val="60883EF9"/>
    <w:rsid w:val="608E59B3"/>
    <w:rsid w:val="60934D78"/>
    <w:rsid w:val="60990450"/>
    <w:rsid w:val="60996106"/>
    <w:rsid w:val="60B259E3"/>
    <w:rsid w:val="60B60A66"/>
    <w:rsid w:val="60B62814"/>
    <w:rsid w:val="60CE5DB0"/>
    <w:rsid w:val="60E50004"/>
    <w:rsid w:val="60EC6236"/>
    <w:rsid w:val="60EE6452"/>
    <w:rsid w:val="60EE7EEF"/>
    <w:rsid w:val="60FD5546"/>
    <w:rsid w:val="610C4B2A"/>
    <w:rsid w:val="610E0230"/>
    <w:rsid w:val="61120392"/>
    <w:rsid w:val="6122434D"/>
    <w:rsid w:val="61271964"/>
    <w:rsid w:val="612754C0"/>
    <w:rsid w:val="612D724C"/>
    <w:rsid w:val="61573FF7"/>
    <w:rsid w:val="61642270"/>
    <w:rsid w:val="616A1BD1"/>
    <w:rsid w:val="617526CF"/>
    <w:rsid w:val="61774699"/>
    <w:rsid w:val="617A5F38"/>
    <w:rsid w:val="617C3A5E"/>
    <w:rsid w:val="618172C6"/>
    <w:rsid w:val="61972646"/>
    <w:rsid w:val="61994610"/>
    <w:rsid w:val="61B208DA"/>
    <w:rsid w:val="61B72CE8"/>
    <w:rsid w:val="61C80A51"/>
    <w:rsid w:val="61D86E23"/>
    <w:rsid w:val="61DE0274"/>
    <w:rsid w:val="61DE64C6"/>
    <w:rsid w:val="61E17D65"/>
    <w:rsid w:val="61F05C25"/>
    <w:rsid w:val="61F21F72"/>
    <w:rsid w:val="61FE0917"/>
    <w:rsid w:val="620121B5"/>
    <w:rsid w:val="620B6B90"/>
    <w:rsid w:val="622B7232"/>
    <w:rsid w:val="623E51B7"/>
    <w:rsid w:val="624D0F56"/>
    <w:rsid w:val="624D53FA"/>
    <w:rsid w:val="626D76EE"/>
    <w:rsid w:val="626D784A"/>
    <w:rsid w:val="62736F98"/>
    <w:rsid w:val="627961EF"/>
    <w:rsid w:val="6280757E"/>
    <w:rsid w:val="629372B1"/>
    <w:rsid w:val="629B43B7"/>
    <w:rsid w:val="629D1EDE"/>
    <w:rsid w:val="62C531E2"/>
    <w:rsid w:val="62D376AD"/>
    <w:rsid w:val="62D56A83"/>
    <w:rsid w:val="62DA4EE0"/>
    <w:rsid w:val="62FB09B2"/>
    <w:rsid w:val="62FD0BCE"/>
    <w:rsid w:val="6311467A"/>
    <w:rsid w:val="631701D8"/>
    <w:rsid w:val="631A352E"/>
    <w:rsid w:val="63212B0F"/>
    <w:rsid w:val="632717A7"/>
    <w:rsid w:val="63350368"/>
    <w:rsid w:val="6356208C"/>
    <w:rsid w:val="635F53E5"/>
    <w:rsid w:val="636B5B38"/>
    <w:rsid w:val="63884331"/>
    <w:rsid w:val="638D2E5A"/>
    <w:rsid w:val="639037F0"/>
    <w:rsid w:val="63991C28"/>
    <w:rsid w:val="63B212A3"/>
    <w:rsid w:val="63B84AF5"/>
    <w:rsid w:val="63BC45E5"/>
    <w:rsid w:val="63C96D02"/>
    <w:rsid w:val="63DC609D"/>
    <w:rsid w:val="63E1404C"/>
    <w:rsid w:val="63EE0517"/>
    <w:rsid w:val="640815D9"/>
    <w:rsid w:val="64104931"/>
    <w:rsid w:val="64200E4F"/>
    <w:rsid w:val="642B22AA"/>
    <w:rsid w:val="643979E4"/>
    <w:rsid w:val="645B2050"/>
    <w:rsid w:val="646A2293"/>
    <w:rsid w:val="64744EC0"/>
    <w:rsid w:val="64777168"/>
    <w:rsid w:val="64803865"/>
    <w:rsid w:val="648D7D30"/>
    <w:rsid w:val="64986E00"/>
    <w:rsid w:val="64A532CB"/>
    <w:rsid w:val="64AA6B34"/>
    <w:rsid w:val="64AD3F2E"/>
    <w:rsid w:val="64B140D9"/>
    <w:rsid w:val="64B81251"/>
    <w:rsid w:val="64D4595F"/>
    <w:rsid w:val="64D771FD"/>
    <w:rsid w:val="64D92F75"/>
    <w:rsid w:val="64F47DAF"/>
    <w:rsid w:val="65223BFC"/>
    <w:rsid w:val="65242442"/>
    <w:rsid w:val="652F5BBD"/>
    <w:rsid w:val="65362175"/>
    <w:rsid w:val="65436640"/>
    <w:rsid w:val="654E74BF"/>
    <w:rsid w:val="65534AD5"/>
    <w:rsid w:val="655B7E2E"/>
    <w:rsid w:val="656A16A5"/>
    <w:rsid w:val="656E7B61"/>
    <w:rsid w:val="65713CE8"/>
    <w:rsid w:val="65752C9E"/>
    <w:rsid w:val="65766A16"/>
    <w:rsid w:val="657F3B1C"/>
    <w:rsid w:val="65953340"/>
    <w:rsid w:val="659C46CE"/>
    <w:rsid w:val="65A215B9"/>
    <w:rsid w:val="65AB66C0"/>
    <w:rsid w:val="65B03CD6"/>
    <w:rsid w:val="65B65064"/>
    <w:rsid w:val="65BD2897"/>
    <w:rsid w:val="65BD63F3"/>
    <w:rsid w:val="65DB7500"/>
    <w:rsid w:val="65E30E33"/>
    <w:rsid w:val="65F55B8D"/>
    <w:rsid w:val="66014531"/>
    <w:rsid w:val="6603474E"/>
    <w:rsid w:val="66072B4B"/>
    <w:rsid w:val="66133630"/>
    <w:rsid w:val="66157FDD"/>
    <w:rsid w:val="661701F9"/>
    <w:rsid w:val="661A3845"/>
    <w:rsid w:val="661C580F"/>
    <w:rsid w:val="661E1587"/>
    <w:rsid w:val="661E5B72"/>
    <w:rsid w:val="662878AC"/>
    <w:rsid w:val="662D41D7"/>
    <w:rsid w:val="66430FEE"/>
    <w:rsid w:val="66456B14"/>
    <w:rsid w:val="66501015"/>
    <w:rsid w:val="66576847"/>
    <w:rsid w:val="66750A46"/>
    <w:rsid w:val="667C005C"/>
    <w:rsid w:val="667C4500"/>
    <w:rsid w:val="668655B1"/>
    <w:rsid w:val="6686712D"/>
    <w:rsid w:val="66886A01"/>
    <w:rsid w:val="669730E8"/>
    <w:rsid w:val="66A001EE"/>
    <w:rsid w:val="66B15F58"/>
    <w:rsid w:val="66D32372"/>
    <w:rsid w:val="66DE04DC"/>
    <w:rsid w:val="66E02E1B"/>
    <w:rsid w:val="66F10A4A"/>
    <w:rsid w:val="670562A3"/>
    <w:rsid w:val="67070FD0"/>
    <w:rsid w:val="670C7632"/>
    <w:rsid w:val="67114C48"/>
    <w:rsid w:val="6730396A"/>
    <w:rsid w:val="673E5311"/>
    <w:rsid w:val="674E7C4A"/>
    <w:rsid w:val="675114E9"/>
    <w:rsid w:val="67530DBD"/>
    <w:rsid w:val="6753700F"/>
    <w:rsid w:val="67672ABA"/>
    <w:rsid w:val="67704C60"/>
    <w:rsid w:val="678216A2"/>
    <w:rsid w:val="678A0557"/>
    <w:rsid w:val="678F6329"/>
    <w:rsid w:val="67900263"/>
    <w:rsid w:val="67987117"/>
    <w:rsid w:val="67A05FCC"/>
    <w:rsid w:val="67BA0E3C"/>
    <w:rsid w:val="67C1041C"/>
    <w:rsid w:val="67C41CBB"/>
    <w:rsid w:val="67CA4DF7"/>
    <w:rsid w:val="67EB5499"/>
    <w:rsid w:val="68071BA7"/>
    <w:rsid w:val="680C5410"/>
    <w:rsid w:val="680D72E9"/>
    <w:rsid w:val="68104F00"/>
    <w:rsid w:val="68112A26"/>
    <w:rsid w:val="681E586F"/>
    <w:rsid w:val="68264723"/>
    <w:rsid w:val="68307350"/>
    <w:rsid w:val="683F1A79"/>
    <w:rsid w:val="6841155D"/>
    <w:rsid w:val="685079F2"/>
    <w:rsid w:val="686B0388"/>
    <w:rsid w:val="68717C13"/>
    <w:rsid w:val="687232B5"/>
    <w:rsid w:val="687234C5"/>
    <w:rsid w:val="68815DFE"/>
    <w:rsid w:val="688349F7"/>
    <w:rsid w:val="688A17C5"/>
    <w:rsid w:val="689042C6"/>
    <w:rsid w:val="689B6EBF"/>
    <w:rsid w:val="68A03F24"/>
    <w:rsid w:val="68A1024E"/>
    <w:rsid w:val="68B5103C"/>
    <w:rsid w:val="68BE1E40"/>
    <w:rsid w:val="68C06926"/>
    <w:rsid w:val="68C563C3"/>
    <w:rsid w:val="68CD2DF1"/>
    <w:rsid w:val="68D77EEE"/>
    <w:rsid w:val="68DB550E"/>
    <w:rsid w:val="68E02B24"/>
    <w:rsid w:val="68E5013A"/>
    <w:rsid w:val="68ED61FF"/>
    <w:rsid w:val="68F20AA9"/>
    <w:rsid w:val="68F93BE6"/>
    <w:rsid w:val="68FC5484"/>
    <w:rsid w:val="69013923"/>
    <w:rsid w:val="690305C1"/>
    <w:rsid w:val="69234D63"/>
    <w:rsid w:val="69382960"/>
    <w:rsid w:val="693E5A9D"/>
    <w:rsid w:val="69450BD9"/>
    <w:rsid w:val="694B014B"/>
    <w:rsid w:val="694F7CAA"/>
    <w:rsid w:val="696A6892"/>
    <w:rsid w:val="697119CE"/>
    <w:rsid w:val="69733998"/>
    <w:rsid w:val="697B0A9F"/>
    <w:rsid w:val="69845BA5"/>
    <w:rsid w:val="69937B96"/>
    <w:rsid w:val="699D27C3"/>
    <w:rsid w:val="69A753F0"/>
    <w:rsid w:val="69A7605A"/>
    <w:rsid w:val="69B239D8"/>
    <w:rsid w:val="69B875FD"/>
    <w:rsid w:val="69C441F4"/>
    <w:rsid w:val="69C67F6C"/>
    <w:rsid w:val="69C97F64"/>
    <w:rsid w:val="69DA57C5"/>
    <w:rsid w:val="69F525FF"/>
    <w:rsid w:val="69FB12B4"/>
    <w:rsid w:val="6A0C16F7"/>
    <w:rsid w:val="6A1C5DDE"/>
    <w:rsid w:val="6A31115D"/>
    <w:rsid w:val="6A42336B"/>
    <w:rsid w:val="6A463F09"/>
    <w:rsid w:val="6A482675"/>
    <w:rsid w:val="6A4D243B"/>
    <w:rsid w:val="6A527A52"/>
    <w:rsid w:val="6A5419CE"/>
    <w:rsid w:val="6A7A6FA8"/>
    <w:rsid w:val="6A7C062B"/>
    <w:rsid w:val="6A843983"/>
    <w:rsid w:val="6A876FCF"/>
    <w:rsid w:val="6A8E0FBE"/>
    <w:rsid w:val="6A9D47AF"/>
    <w:rsid w:val="6AAD6F18"/>
    <w:rsid w:val="6AB04778"/>
    <w:rsid w:val="6AB709C9"/>
    <w:rsid w:val="6AB97AD1"/>
    <w:rsid w:val="6AD91941"/>
    <w:rsid w:val="6AD93563"/>
    <w:rsid w:val="6ADE3093"/>
    <w:rsid w:val="6AE34B4E"/>
    <w:rsid w:val="6AEB3A02"/>
    <w:rsid w:val="6AEB755E"/>
    <w:rsid w:val="6B080110"/>
    <w:rsid w:val="6B0C0FC3"/>
    <w:rsid w:val="6B1765A5"/>
    <w:rsid w:val="6B282560"/>
    <w:rsid w:val="6B3233DF"/>
    <w:rsid w:val="6B4E646B"/>
    <w:rsid w:val="6B735ED1"/>
    <w:rsid w:val="6B8005EE"/>
    <w:rsid w:val="6B8974A3"/>
    <w:rsid w:val="6B9876E6"/>
    <w:rsid w:val="6BAA11C7"/>
    <w:rsid w:val="6BAE6F0A"/>
    <w:rsid w:val="6BAF67DE"/>
    <w:rsid w:val="6BB65DBE"/>
    <w:rsid w:val="6BC524A5"/>
    <w:rsid w:val="6BC64F21"/>
    <w:rsid w:val="6BD8403E"/>
    <w:rsid w:val="6BD91D78"/>
    <w:rsid w:val="6BE20961"/>
    <w:rsid w:val="6BF6440D"/>
    <w:rsid w:val="6C0E5BFA"/>
    <w:rsid w:val="6C1A70D2"/>
    <w:rsid w:val="6C2471CC"/>
    <w:rsid w:val="6C2947E2"/>
    <w:rsid w:val="6C2C42D2"/>
    <w:rsid w:val="6C2E3BA6"/>
    <w:rsid w:val="6C313697"/>
    <w:rsid w:val="6C4231A7"/>
    <w:rsid w:val="6C507FC1"/>
    <w:rsid w:val="6C6626B3"/>
    <w:rsid w:val="6C7837BE"/>
    <w:rsid w:val="6C81461E"/>
    <w:rsid w:val="6C8815DE"/>
    <w:rsid w:val="6C8E0AE9"/>
    <w:rsid w:val="6C953C26"/>
    <w:rsid w:val="6C9D4019"/>
    <w:rsid w:val="6CB22A29"/>
    <w:rsid w:val="6CC60283"/>
    <w:rsid w:val="6CC938CF"/>
    <w:rsid w:val="6CD24E7A"/>
    <w:rsid w:val="6CD81D64"/>
    <w:rsid w:val="6CED3A62"/>
    <w:rsid w:val="6CF30226"/>
    <w:rsid w:val="6CF72E8A"/>
    <w:rsid w:val="6D0509B6"/>
    <w:rsid w:val="6D0B3EE8"/>
    <w:rsid w:val="6D1219D0"/>
    <w:rsid w:val="6D147240"/>
    <w:rsid w:val="6D1725BF"/>
    <w:rsid w:val="6D185805"/>
    <w:rsid w:val="6D4D4500"/>
    <w:rsid w:val="6D5D610D"/>
    <w:rsid w:val="6D6B12A5"/>
    <w:rsid w:val="6D740D0A"/>
    <w:rsid w:val="6D741A8D"/>
    <w:rsid w:val="6D8F4B19"/>
    <w:rsid w:val="6D997745"/>
    <w:rsid w:val="6DA22A9E"/>
    <w:rsid w:val="6DA31923"/>
    <w:rsid w:val="6DB30396"/>
    <w:rsid w:val="6DB77697"/>
    <w:rsid w:val="6DB85E1E"/>
    <w:rsid w:val="6DB97DE8"/>
    <w:rsid w:val="6DBE0F5A"/>
    <w:rsid w:val="6DC76061"/>
    <w:rsid w:val="6DCA3DA3"/>
    <w:rsid w:val="6DCA78FF"/>
    <w:rsid w:val="6DCC7B1B"/>
    <w:rsid w:val="6DCE3893"/>
    <w:rsid w:val="6DD16EDF"/>
    <w:rsid w:val="6DD644F6"/>
    <w:rsid w:val="6DE33B9F"/>
    <w:rsid w:val="6DF8446C"/>
    <w:rsid w:val="6E02353D"/>
    <w:rsid w:val="6E0C7F17"/>
    <w:rsid w:val="6E142B25"/>
    <w:rsid w:val="6E1D3E88"/>
    <w:rsid w:val="6E492EA5"/>
    <w:rsid w:val="6E494CC8"/>
    <w:rsid w:val="6E4C0C5C"/>
    <w:rsid w:val="6E535B46"/>
    <w:rsid w:val="6E565636"/>
    <w:rsid w:val="6E6715F2"/>
    <w:rsid w:val="6E6C4E5A"/>
    <w:rsid w:val="6E700D11"/>
    <w:rsid w:val="6E733541"/>
    <w:rsid w:val="6E810905"/>
    <w:rsid w:val="6E851A78"/>
    <w:rsid w:val="6E895A0C"/>
    <w:rsid w:val="6E91666F"/>
    <w:rsid w:val="6E9323E7"/>
    <w:rsid w:val="6E9543B1"/>
    <w:rsid w:val="6E9A5523"/>
    <w:rsid w:val="6E9F6FDD"/>
    <w:rsid w:val="6EAB14DE"/>
    <w:rsid w:val="6EB160B4"/>
    <w:rsid w:val="6EBF42F0"/>
    <w:rsid w:val="6ED70525"/>
    <w:rsid w:val="6EDE7B06"/>
    <w:rsid w:val="6EFF5CCE"/>
    <w:rsid w:val="6F0C1C24"/>
    <w:rsid w:val="6F0D03EB"/>
    <w:rsid w:val="6F1C1CA6"/>
    <w:rsid w:val="6F296E61"/>
    <w:rsid w:val="6F2E3EBD"/>
    <w:rsid w:val="6F5065B5"/>
    <w:rsid w:val="6F563B40"/>
    <w:rsid w:val="6F572C2C"/>
    <w:rsid w:val="6F5A2F04"/>
    <w:rsid w:val="6F5B73A8"/>
    <w:rsid w:val="6F60051B"/>
    <w:rsid w:val="6F63000B"/>
    <w:rsid w:val="6F6B6EC0"/>
    <w:rsid w:val="6F742218"/>
    <w:rsid w:val="6F79782E"/>
    <w:rsid w:val="6F7B35A7"/>
    <w:rsid w:val="6F8E5394"/>
    <w:rsid w:val="6F9560D3"/>
    <w:rsid w:val="6FB16FC8"/>
    <w:rsid w:val="6FB40867"/>
    <w:rsid w:val="6FB645DF"/>
    <w:rsid w:val="6FC211D5"/>
    <w:rsid w:val="6FC565D0"/>
    <w:rsid w:val="6FD40F09"/>
    <w:rsid w:val="6FD66A2F"/>
    <w:rsid w:val="6FEF189F"/>
    <w:rsid w:val="6FF375E1"/>
    <w:rsid w:val="6FFD3FBC"/>
    <w:rsid w:val="6FFE5F86"/>
    <w:rsid w:val="700A56D9"/>
    <w:rsid w:val="700C06A3"/>
    <w:rsid w:val="701A2DBF"/>
    <w:rsid w:val="701D465E"/>
    <w:rsid w:val="70334C37"/>
    <w:rsid w:val="703B0F88"/>
    <w:rsid w:val="704A2F79"/>
    <w:rsid w:val="704C0A9F"/>
    <w:rsid w:val="705A19BC"/>
    <w:rsid w:val="70891CF3"/>
    <w:rsid w:val="708F6BDE"/>
    <w:rsid w:val="70952446"/>
    <w:rsid w:val="709F6AF2"/>
    <w:rsid w:val="70BA3C5B"/>
    <w:rsid w:val="70C043D4"/>
    <w:rsid w:val="70D063BA"/>
    <w:rsid w:val="70D81887"/>
    <w:rsid w:val="70EE591B"/>
    <w:rsid w:val="70F829D5"/>
    <w:rsid w:val="71003B2D"/>
    <w:rsid w:val="71066EA0"/>
    <w:rsid w:val="71213CDA"/>
    <w:rsid w:val="71453E6C"/>
    <w:rsid w:val="714A76D4"/>
    <w:rsid w:val="71516148"/>
    <w:rsid w:val="715337F9"/>
    <w:rsid w:val="71654B20"/>
    <w:rsid w:val="716F2C97"/>
    <w:rsid w:val="717007BD"/>
    <w:rsid w:val="71722787"/>
    <w:rsid w:val="71755543"/>
    <w:rsid w:val="718524BB"/>
    <w:rsid w:val="71973F9C"/>
    <w:rsid w:val="719B7F30"/>
    <w:rsid w:val="71A05546"/>
    <w:rsid w:val="71AB7A47"/>
    <w:rsid w:val="71AF5789"/>
    <w:rsid w:val="71B86786"/>
    <w:rsid w:val="71CD20B4"/>
    <w:rsid w:val="71D074AE"/>
    <w:rsid w:val="71F15DA2"/>
    <w:rsid w:val="71FB09CF"/>
    <w:rsid w:val="71FE04BF"/>
    <w:rsid w:val="71FE226D"/>
    <w:rsid w:val="720B35BE"/>
    <w:rsid w:val="72190E55"/>
    <w:rsid w:val="72225F5B"/>
    <w:rsid w:val="72253C9E"/>
    <w:rsid w:val="723E08BB"/>
    <w:rsid w:val="726246F7"/>
    <w:rsid w:val="72640322"/>
    <w:rsid w:val="726E4A1E"/>
    <w:rsid w:val="72760055"/>
    <w:rsid w:val="72807126"/>
    <w:rsid w:val="728E0764"/>
    <w:rsid w:val="72952BD1"/>
    <w:rsid w:val="729A1F96"/>
    <w:rsid w:val="729F135A"/>
    <w:rsid w:val="72B34E05"/>
    <w:rsid w:val="72BF37AA"/>
    <w:rsid w:val="72BF7592"/>
    <w:rsid w:val="72C94629"/>
    <w:rsid w:val="72CA465D"/>
    <w:rsid w:val="72E41463"/>
    <w:rsid w:val="72E871A5"/>
    <w:rsid w:val="72EC0317"/>
    <w:rsid w:val="72F10F91"/>
    <w:rsid w:val="72F24FF2"/>
    <w:rsid w:val="72F90BB3"/>
    <w:rsid w:val="730E4732"/>
    <w:rsid w:val="7321692F"/>
    <w:rsid w:val="732E26DE"/>
    <w:rsid w:val="732E7AA3"/>
    <w:rsid w:val="73333915"/>
    <w:rsid w:val="733A5527"/>
    <w:rsid w:val="733A6CBD"/>
    <w:rsid w:val="73440153"/>
    <w:rsid w:val="73520AC2"/>
    <w:rsid w:val="736B748E"/>
    <w:rsid w:val="73740A39"/>
    <w:rsid w:val="73816CB2"/>
    <w:rsid w:val="73852C46"/>
    <w:rsid w:val="738B6B2A"/>
    <w:rsid w:val="739C3AEB"/>
    <w:rsid w:val="73A86934"/>
    <w:rsid w:val="73AE39A4"/>
    <w:rsid w:val="73B54BAD"/>
    <w:rsid w:val="73BE3A62"/>
    <w:rsid w:val="73C372CA"/>
    <w:rsid w:val="73CD639B"/>
    <w:rsid w:val="73D31D47"/>
    <w:rsid w:val="74017DF2"/>
    <w:rsid w:val="74024296"/>
    <w:rsid w:val="74212243"/>
    <w:rsid w:val="74281823"/>
    <w:rsid w:val="742C4E6F"/>
    <w:rsid w:val="743174DA"/>
    <w:rsid w:val="74392A0E"/>
    <w:rsid w:val="746343A5"/>
    <w:rsid w:val="746740F9"/>
    <w:rsid w:val="746C5BB4"/>
    <w:rsid w:val="74784559"/>
    <w:rsid w:val="749E7B1F"/>
    <w:rsid w:val="74B35591"/>
    <w:rsid w:val="74B45308"/>
    <w:rsid w:val="74B60BDD"/>
    <w:rsid w:val="74B86703"/>
    <w:rsid w:val="74BF5767"/>
    <w:rsid w:val="74C04F97"/>
    <w:rsid w:val="74C72DEA"/>
    <w:rsid w:val="74D3353D"/>
    <w:rsid w:val="74D84FF7"/>
    <w:rsid w:val="74DB7AC1"/>
    <w:rsid w:val="74E05C5A"/>
    <w:rsid w:val="74EB4D2A"/>
    <w:rsid w:val="74EC45FF"/>
    <w:rsid w:val="74F55BA9"/>
    <w:rsid w:val="750000AA"/>
    <w:rsid w:val="7503583D"/>
    <w:rsid w:val="7505015D"/>
    <w:rsid w:val="750556C0"/>
    <w:rsid w:val="75063912"/>
    <w:rsid w:val="7509415A"/>
    <w:rsid w:val="75183646"/>
    <w:rsid w:val="75287D2D"/>
    <w:rsid w:val="752B3379"/>
    <w:rsid w:val="7530098F"/>
    <w:rsid w:val="75461F61"/>
    <w:rsid w:val="7548217D"/>
    <w:rsid w:val="756D573F"/>
    <w:rsid w:val="756E14B8"/>
    <w:rsid w:val="75706FDE"/>
    <w:rsid w:val="75792336"/>
    <w:rsid w:val="75862CA5"/>
    <w:rsid w:val="75866801"/>
    <w:rsid w:val="75897B79"/>
    <w:rsid w:val="7590142E"/>
    <w:rsid w:val="75A4312B"/>
    <w:rsid w:val="75AE7B06"/>
    <w:rsid w:val="75C335B1"/>
    <w:rsid w:val="75E706DE"/>
    <w:rsid w:val="76053BCA"/>
    <w:rsid w:val="760616F0"/>
    <w:rsid w:val="76065B94"/>
    <w:rsid w:val="760E5105"/>
    <w:rsid w:val="76171EA7"/>
    <w:rsid w:val="76183420"/>
    <w:rsid w:val="76197675"/>
    <w:rsid w:val="761E4C8C"/>
    <w:rsid w:val="76236746"/>
    <w:rsid w:val="76263B40"/>
    <w:rsid w:val="76342701"/>
    <w:rsid w:val="76351605"/>
    <w:rsid w:val="763D7808"/>
    <w:rsid w:val="76404C02"/>
    <w:rsid w:val="76472434"/>
    <w:rsid w:val="764A3CD3"/>
    <w:rsid w:val="76514AC5"/>
    <w:rsid w:val="7657350F"/>
    <w:rsid w:val="76685F07"/>
    <w:rsid w:val="766A6123"/>
    <w:rsid w:val="766F1A66"/>
    <w:rsid w:val="767874EA"/>
    <w:rsid w:val="767E397C"/>
    <w:rsid w:val="76960CC6"/>
    <w:rsid w:val="769B008A"/>
    <w:rsid w:val="769B62DC"/>
    <w:rsid w:val="76C5235F"/>
    <w:rsid w:val="76D4359C"/>
    <w:rsid w:val="76DE728B"/>
    <w:rsid w:val="76E25CB9"/>
    <w:rsid w:val="76E75814"/>
    <w:rsid w:val="76EB7264"/>
    <w:rsid w:val="76FB0E40"/>
    <w:rsid w:val="770420D4"/>
    <w:rsid w:val="77091498"/>
    <w:rsid w:val="770C2D36"/>
    <w:rsid w:val="770E4D00"/>
    <w:rsid w:val="77100A78"/>
    <w:rsid w:val="771A07B8"/>
    <w:rsid w:val="771A36A5"/>
    <w:rsid w:val="7735228D"/>
    <w:rsid w:val="773724A9"/>
    <w:rsid w:val="773F135E"/>
    <w:rsid w:val="77453361"/>
    <w:rsid w:val="774E77F3"/>
    <w:rsid w:val="775841CD"/>
    <w:rsid w:val="775F730A"/>
    <w:rsid w:val="7762504C"/>
    <w:rsid w:val="7765592F"/>
    <w:rsid w:val="77764653"/>
    <w:rsid w:val="778B6351"/>
    <w:rsid w:val="77B77146"/>
    <w:rsid w:val="77D73344"/>
    <w:rsid w:val="77DE46D3"/>
    <w:rsid w:val="77E5622B"/>
    <w:rsid w:val="77EC1496"/>
    <w:rsid w:val="77ED11E6"/>
    <w:rsid w:val="77EF4B32"/>
    <w:rsid w:val="77F55EC0"/>
    <w:rsid w:val="7803238B"/>
    <w:rsid w:val="780879A1"/>
    <w:rsid w:val="780B56E4"/>
    <w:rsid w:val="78177BE5"/>
    <w:rsid w:val="78216CB5"/>
    <w:rsid w:val="78232A2D"/>
    <w:rsid w:val="782347DB"/>
    <w:rsid w:val="78340796"/>
    <w:rsid w:val="784309DA"/>
    <w:rsid w:val="784C1F84"/>
    <w:rsid w:val="78544995"/>
    <w:rsid w:val="785C7CED"/>
    <w:rsid w:val="7860333A"/>
    <w:rsid w:val="78615304"/>
    <w:rsid w:val="78656BA2"/>
    <w:rsid w:val="786B1CDE"/>
    <w:rsid w:val="78811502"/>
    <w:rsid w:val="78820F49"/>
    <w:rsid w:val="788B412F"/>
    <w:rsid w:val="789631FF"/>
    <w:rsid w:val="789B25C4"/>
    <w:rsid w:val="78A15A10"/>
    <w:rsid w:val="78B74F24"/>
    <w:rsid w:val="78B95140"/>
    <w:rsid w:val="78BE2756"/>
    <w:rsid w:val="78CD4747"/>
    <w:rsid w:val="78D9133E"/>
    <w:rsid w:val="78DB50B6"/>
    <w:rsid w:val="78DE0702"/>
    <w:rsid w:val="78E026CC"/>
    <w:rsid w:val="78EC1071"/>
    <w:rsid w:val="78EE303B"/>
    <w:rsid w:val="78F65A4C"/>
    <w:rsid w:val="78F91413"/>
    <w:rsid w:val="78FB12B4"/>
    <w:rsid w:val="79022643"/>
    <w:rsid w:val="790C1713"/>
    <w:rsid w:val="791242CD"/>
    <w:rsid w:val="791E4FA3"/>
    <w:rsid w:val="792132B2"/>
    <w:rsid w:val="7924080B"/>
    <w:rsid w:val="792C5912"/>
    <w:rsid w:val="794013BD"/>
    <w:rsid w:val="79440EAD"/>
    <w:rsid w:val="79556C16"/>
    <w:rsid w:val="7956473D"/>
    <w:rsid w:val="79725A1A"/>
    <w:rsid w:val="797846B3"/>
    <w:rsid w:val="79825532"/>
    <w:rsid w:val="79863274"/>
    <w:rsid w:val="79A951B4"/>
    <w:rsid w:val="79C02F7D"/>
    <w:rsid w:val="79C773E8"/>
    <w:rsid w:val="79D63AE0"/>
    <w:rsid w:val="79DE4E5E"/>
    <w:rsid w:val="79E82189"/>
    <w:rsid w:val="79EA1A55"/>
    <w:rsid w:val="79F226B7"/>
    <w:rsid w:val="79F3642F"/>
    <w:rsid w:val="79FE105C"/>
    <w:rsid w:val="7A0D63E1"/>
    <w:rsid w:val="7A0E5017"/>
    <w:rsid w:val="7A0E55E5"/>
    <w:rsid w:val="7A0F1550"/>
    <w:rsid w:val="7A177DD8"/>
    <w:rsid w:val="7A1E16FE"/>
    <w:rsid w:val="7A263670"/>
    <w:rsid w:val="7A290C7B"/>
    <w:rsid w:val="7A3514A9"/>
    <w:rsid w:val="7A432F13"/>
    <w:rsid w:val="7A48677B"/>
    <w:rsid w:val="7A4D3D91"/>
    <w:rsid w:val="7A697680"/>
    <w:rsid w:val="7A6B4218"/>
    <w:rsid w:val="7A6E22EA"/>
    <w:rsid w:val="7A7E03EF"/>
    <w:rsid w:val="7A805F15"/>
    <w:rsid w:val="7AB24735"/>
    <w:rsid w:val="7ABC1CA3"/>
    <w:rsid w:val="7AD60603"/>
    <w:rsid w:val="7AD61FD9"/>
    <w:rsid w:val="7AEF309B"/>
    <w:rsid w:val="7AF97A75"/>
    <w:rsid w:val="7AFE6E3A"/>
    <w:rsid w:val="7B046BAE"/>
    <w:rsid w:val="7B095F0A"/>
    <w:rsid w:val="7B1211B1"/>
    <w:rsid w:val="7B1353ED"/>
    <w:rsid w:val="7B1D5512"/>
    <w:rsid w:val="7B22521E"/>
    <w:rsid w:val="7B2745E3"/>
    <w:rsid w:val="7B3B62E0"/>
    <w:rsid w:val="7B542EFE"/>
    <w:rsid w:val="7B56651E"/>
    <w:rsid w:val="7B570210"/>
    <w:rsid w:val="7B5761A4"/>
    <w:rsid w:val="7B5B24DE"/>
    <w:rsid w:val="7B690757"/>
    <w:rsid w:val="7B6F1AE6"/>
    <w:rsid w:val="7B70048C"/>
    <w:rsid w:val="7B7470FC"/>
    <w:rsid w:val="7B7A6E08"/>
    <w:rsid w:val="7B7B492E"/>
    <w:rsid w:val="7B826934"/>
    <w:rsid w:val="7B841A35"/>
    <w:rsid w:val="7B871525"/>
    <w:rsid w:val="7B98728E"/>
    <w:rsid w:val="7B9A1258"/>
    <w:rsid w:val="7BB65090"/>
    <w:rsid w:val="7BBA7205"/>
    <w:rsid w:val="7BC63DFB"/>
    <w:rsid w:val="7BD05638"/>
    <w:rsid w:val="7BD76009"/>
    <w:rsid w:val="7BDC1277"/>
    <w:rsid w:val="7BED75DA"/>
    <w:rsid w:val="7C0B3F04"/>
    <w:rsid w:val="7C0B4DE9"/>
    <w:rsid w:val="7C0D1A2A"/>
    <w:rsid w:val="7C0E57A2"/>
    <w:rsid w:val="7C240B22"/>
    <w:rsid w:val="7C2428D0"/>
    <w:rsid w:val="7C3C40BE"/>
    <w:rsid w:val="7C4B2553"/>
    <w:rsid w:val="7C547659"/>
    <w:rsid w:val="7C55517F"/>
    <w:rsid w:val="7C566747"/>
    <w:rsid w:val="7C5E2286"/>
    <w:rsid w:val="7C617073"/>
    <w:rsid w:val="7C683105"/>
    <w:rsid w:val="7C6B49A3"/>
    <w:rsid w:val="7C7E2011"/>
    <w:rsid w:val="7C887303"/>
    <w:rsid w:val="7C9B5288"/>
    <w:rsid w:val="7CAD2A9A"/>
    <w:rsid w:val="7CB579CC"/>
    <w:rsid w:val="7CBC6FAC"/>
    <w:rsid w:val="7CC3658D"/>
    <w:rsid w:val="7CCD2F68"/>
    <w:rsid w:val="7CD9190C"/>
    <w:rsid w:val="7CD95DB0"/>
    <w:rsid w:val="7CDE5175"/>
    <w:rsid w:val="7D0A41BC"/>
    <w:rsid w:val="7D0A7D18"/>
    <w:rsid w:val="7D124E1E"/>
    <w:rsid w:val="7D1868D9"/>
    <w:rsid w:val="7D1B1F25"/>
    <w:rsid w:val="7D1D3EEF"/>
    <w:rsid w:val="7D3C766F"/>
    <w:rsid w:val="7D40198C"/>
    <w:rsid w:val="7D4A0A5C"/>
    <w:rsid w:val="7D4E22FA"/>
    <w:rsid w:val="7D4E40A8"/>
    <w:rsid w:val="7D4F7E21"/>
    <w:rsid w:val="7D5316BF"/>
    <w:rsid w:val="7D5471E5"/>
    <w:rsid w:val="7D60202E"/>
    <w:rsid w:val="7D692C90"/>
    <w:rsid w:val="7D6C09D3"/>
    <w:rsid w:val="7D6C2781"/>
    <w:rsid w:val="7D796C4C"/>
    <w:rsid w:val="7D821FA4"/>
    <w:rsid w:val="7D847ACA"/>
    <w:rsid w:val="7D8E0CD4"/>
    <w:rsid w:val="7D9B3066"/>
    <w:rsid w:val="7DA97531"/>
    <w:rsid w:val="7DB303AF"/>
    <w:rsid w:val="7DBD6359"/>
    <w:rsid w:val="7DD56578"/>
    <w:rsid w:val="7DDC7906"/>
    <w:rsid w:val="7DDF2F52"/>
    <w:rsid w:val="7DE92023"/>
    <w:rsid w:val="7DEE7639"/>
    <w:rsid w:val="7DF00F37"/>
    <w:rsid w:val="7DF54524"/>
    <w:rsid w:val="7DF6029C"/>
    <w:rsid w:val="7E002EC9"/>
    <w:rsid w:val="7E064983"/>
    <w:rsid w:val="7E1216CD"/>
    <w:rsid w:val="7E2117BD"/>
    <w:rsid w:val="7E3B58DD"/>
    <w:rsid w:val="7E470AF8"/>
    <w:rsid w:val="7E6B0C8A"/>
    <w:rsid w:val="7E7713DD"/>
    <w:rsid w:val="7E7A0ECD"/>
    <w:rsid w:val="7E812CEE"/>
    <w:rsid w:val="7E81400A"/>
    <w:rsid w:val="7EC16F8B"/>
    <w:rsid w:val="7ED349CD"/>
    <w:rsid w:val="7ED635B5"/>
    <w:rsid w:val="7EDC7492"/>
    <w:rsid w:val="7EE2719E"/>
    <w:rsid w:val="7EF24F07"/>
    <w:rsid w:val="7EF7251E"/>
    <w:rsid w:val="7F17671C"/>
    <w:rsid w:val="7F1F7BDC"/>
    <w:rsid w:val="7F2F1CB8"/>
    <w:rsid w:val="7F383D84"/>
    <w:rsid w:val="7F475253"/>
    <w:rsid w:val="7F480FCB"/>
    <w:rsid w:val="7F623E3B"/>
    <w:rsid w:val="7F792C24"/>
    <w:rsid w:val="7F8A15E4"/>
    <w:rsid w:val="7F961D37"/>
    <w:rsid w:val="7F986823"/>
    <w:rsid w:val="7F9F1475"/>
    <w:rsid w:val="7FAC155A"/>
    <w:rsid w:val="7FAE52D2"/>
    <w:rsid w:val="7FBA3C77"/>
    <w:rsid w:val="7FD85EAB"/>
    <w:rsid w:val="7FDA60C7"/>
    <w:rsid w:val="7FEA3E31"/>
    <w:rsid w:val="7FEE3921"/>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qFormat/>
    <w:uiPriority w:val="0"/>
    <w:pPr>
      <w:jc w:val="left"/>
    </w:pPr>
  </w:style>
  <w:style w:type="paragraph" w:styleId="4">
    <w:name w:val="toc 3"/>
    <w:basedOn w:val="1"/>
    <w:next w:val="1"/>
    <w:qFormat/>
    <w:uiPriority w:val="0"/>
    <w:pPr>
      <w:ind w:left="840" w:leftChars="400"/>
    </w:pPr>
  </w:style>
  <w:style w:type="paragraph" w:styleId="5">
    <w:name w:val="Balloon Text"/>
    <w:basedOn w:val="1"/>
    <w:link w:val="20"/>
    <w:qFormat/>
    <w:uiPriority w:val="0"/>
    <w:rPr>
      <w:sz w:val="18"/>
      <w:szCs w:val="18"/>
    </w:rPr>
  </w:style>
  <w:style w:type="paragraph" w:styleId="6">
    <w:name w:val="footer"/>
    <w:basedOn w:val="1"/>
    <w:link w:val="22"/>
    <w:qFormat/>
    <w:uiPriority w:val="0"/>
    <w:pPr>
      <w:tabs>
        <w:tab w:val="center" w:pos="4153"/>
        <w:tab w:val="right" w:pos="8306"/>
      </w:tabs>
      <w:snapToGrid w:val="0"/>
      <w:jc w:val="left"/>
    </w:pPr>
    <w:rPr>
      <w:sz w:val="18"/>
      <w:szCs w:val="18"/>
    </w:rPr>
  </w:style>
  <w:style w:type="paragraph" w:styleId="7">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annotation subject"/>
    <w:basedOn w:val="3"/>
    <w:next w:val="3"/>
    <w:link w:val="19"/>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styleId="17">
    <w:name w:val="annotation reference"/>
    <w:basedOn w:val="14"/>
    <w:qFormat/>
    <w:uiPriority w:val="0"/>
    <w:rPr>
      <w:sz w:val="21"/>
      <w:szCs w:val="21"/>
    </w:rPr>
  </w:style>
  <w:style w:type="character" w:customStyle="1" w:styleId="18">
    <w:name w:val="批注文字 字符"/>
    <w:basedOn w:val="14"/>
    <w:link w:val="3"/>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11"/>
    <w:qFormat/>
    <w:uiPriority w:val="0"/>
    <w:rPr>
      <w:rFonts w:asciiTheme="minorHAnsi" w:hAnsiTheme="minorHAnsi" w:eastAsiaTheme="minorEastAsia" w:cstheme="minorBidi"/>
      <w:b/>
      <w:bCs/>
      <w:kern w:val="2"/>
      <w:sz w:val="21"/>
      <w:szCs w:val="24"/>
    </w:rPr>
  </w:style>
  <w:style w:type="character" w:customStyle="1" w:styleId="20">
    <w:name w:val="批注框文本 字符"/>
    <w:basedOn w:val="14"/>
    <w:link w:val="5"/>
    <w:qFormat/>
    <w:uiPriority w:val="0"/>
    <w:rPr>
      <w:rFonts w:asciiTheme="minorHAnsi" w:hAnsiTheme="minorHAnsi" w:eastAsiaTheme="minorEastAsia" w:cstheme="minorBidi"/>
      <w:kern w:val="2"/>
      <w:sz w:val="18"/>
      <w:szCs w:val="18"/>
    </w:rPr>
  </w:style>
  <w:style w:type="character" w:customStyle="1" w:styleId="21">
    <w:name w:val="页眉 字符"/>
    <w:basedOn w:val="14"/>
    <w:link w:val="7"/>
    <w:qFormat/>
    <w:uiPriority w:val="0"/>
    <w:rPr>
      <w:rFonts w:asciiTheme="minorHAnsi" w:hAnsiTheme="minorHAnsi" w:eastAsiaTheme="minorEastAsia" w:cstheme="minorBidi"/>
      <w:kern w:val="2"/>
      <w:sz w:val="18"/>
      <w:szCs w:val="18"/>
    </w:rPr>
  </w:style>
  <w:style w:type="character" w:customStyle="1" w:styleId="22">
    <w:name w:val="页脚 字符"/>
    <w:basedOn w:val="14"/>
    <w:link w:val="6"/>
    <w:qFormat/>
    <w:uiPriority w:val="0"/>
    <w:rPr>
      <w:rFonts w:asciiTheme="minorHAnsi" w:hAnsiTheme="minorHAnsi" w:eastAsiaTheme="minorEastAsia" w:cstheme="minorBidi"/>
      <w:kern w:val="2"/>
      <w:sz w:val="18"/>
      <w:szCs w:val="18"/>
    </w:rPr>
  </w:style>
  <w:style w:type="character" w:customStyle="1" w:styleId="23">
    <w:name w:val="font21"/>
    <w:basedOn w:val="14"/>
    <w:qFormat/>
    <w:uiPriority w:val="0"/>
    <w:rPr>
      <w:rFonts w:ascii="Calibri" w:hAnsi="Calibri" w:cs="Calibri"/>
      <w:color w:val="000000"/>
      <w:sz w:val="21"/>
      <w:szCs w:val="21"/>
      <w:u w:val="none"/>
    </w:rPr>
  </w:style>
  <w:style w:type="character" w:customStyle="1" w:styleId="24">
    <w:name w:val="font11"/>
    <w:basedOn w:val="14"/>
    <w:qFormat/>
    <w:uiPriority w:val="0"/>
    <w:rPr>
      <w:rFonts w:hint="eastAsia" w:ascii="宋体" w:hAnsi="宋体" w:eastAsia="宋体" w:cs="宋体"/>
      <w:color w:val="000000"/>
      <w:sz w:val="21"/>
      <w:szCs w:val="21"/>
      <w:u w:val="none"/>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Arial" w:hAnsi="Arial" w:eastAsia="Arial" w:cs="Arial"/>
      <w:szCs w:val="21"/>
      <w:lang w:eastAsia="en-US"/>
    </w:rPr>
  </w:style>
  <w:style w:type="paragraph" w:customStyle="1" w:styleId="27">
    <w:name w:val="Default"/>
    <w:basedOn w:val="1"/>
    <w:qFormat/>
    <w:uiPriority w:val="0"/>
    <w:pPr>
      <w:autoSpaceDE w:val="0"/>
      <w:autoSpaceDN w:val="0"/>
      <w:adjustRightInd w:val="0"/>
      <w:jc w:val="left"/>
    </w:pPr>
    <w:rPr>
      <w:rFonts w:ascii="Times New Roman" w:hAnsi="Times New Roman" w:eastAsia="宋体" w:cs="Times New Roman"/>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101e5379-2b83-4412-9dbf-eda358b3787f</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6C2087DC</paraID>
      <start>11</start>
      <end>14</end>
      <status>unmodified</status>
      <modifiedWord/>
      <trackRevisions>false</trackRevisions>
    </reviewItem>
    <reviewItem>
      <errorID>e9cf7d2c-b887-42c3-aa09-09f8a8c18e2a</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6C2087DC</paraID>
      <start>28</start>
      <end>31</end>
      <status>unmodified</status>
      <modifiedWord/>
      <trackRevisions>false</trackRevisions>
    </reviewItem>
    <reviewItem>
      <errorID>06016637-6c22-4cfe-84aa-4ad18df8070a</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3AD2454E</paraID>
      <start>10</start>
      <end>13</end>
      <status>unmodified</status>
      <modifiedWord/>
      <trackRevisions>false</trackRevisions>
    </reviewItem>
    <reviewItem>
      <errorID>fa14854e-6cc2-4db2-8eee-7d1dc4dbb092</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3AD2454E</paraID>
      <start>34</start>
      <end>37</end>
      <status>unmodified</status>
      <modifiedWord/>
      <trackRevisions>false</trackRevisions>
    </reviewItem>
    <reviewItem>
      <errorID>c4515428-c1a8-451d-88bb-bec3c90b373f</errorID>
      <errorWord>，</errorWord>
      <group>L1_Grammar</group>
      <groupName>语法问题</groupName>
      <ability>L2_Grammar</ability>
      <abilityName>语法错误</abilityName>
      <candidateList>
        <item>信息，</item>
      </candidateList>
      <explain/>
      <paraID>75D037C8</paraID>
      <start>73</start>
      <end>74</end>
      <status>unmodified</status>
      <modifiedWord/>
      <trackRevisions>false</trackRevisions>
    </reviewItem>
    <reviewItem>
      <errorID>4fe7dde7-2f08-4a40-a47b-dfa4528164b2</errorID>
      <errorWord>信息</errorWord>
      <group>L1_Word</group>
      <groupName>字词问题</groupName>
      <ability>L2_Typo</ability>
      <abilityName>字词错误</abilityName>
      <candidateList>
        <item>的信息</item>
      </candidateList>
      <explain/>
      <paraID>75D037C8</paraID>
      <start>117</start>
      <end>119</end>
      <status>unmodified</status>
      <modifiedWord/>
      <trackRevisions>false</trackRevisions>
    </reviewItem>
    <reviewItem>
      <errorID>68d84346-db94-4dbb-ab4d-a3264e5aa3a4</errorID>
      <errorWord>ADR</errorWord>
      <group>L1_Grammar</group>
      <groupName>语法问题</groupName>
      <ability>L2_Grammar</ability>
      <abilityName>语法错误</abilityName>
      <candidateList>
        <item>药品不良反应</item>
      </candidateList>
      <explain/>
      <paraID>7719ABB5</paraID>
      <start>50</start>
      <end>53</end>
      <status>unmodified</status>
      <modifiedWord/>
      <trackRevisions>false</trackRevisions>
    </reviewItem>
    <reviewItem>
      <errorID>dc14480c-d14b-424c-b2a9-b770d31e2201</errorID>
      <errorWord>限</errorWord>
      <group>L1_Word</group>
      <groupName>字词问题</groupName>
      <ability>L2_Typo</ability>
      <abilityName>字词错误</abilityName>
      <candidateList>
        <item>限内</item>
      </candidateList>
      <explain/>
      <paraID>7719ABB5</paraID>
      <start>66</start>
      <end>67</end>
      <status>unmodified</status>
      <modifiedWord/>
      <trackRevisions>false</trackRevisions>
    </reviewItem>
    <reviewItem>
      <errorID>47ef741a-9b8f-4db8-811b-cf0c8b5214f2</errorID>
      <errorWord>，</errorWord>
      <group>L1_Punc</group>
      <groupName>标点问题</groupName>
      <ability>L2_Punc_CN</ability>
      <abilityName>标点符号检查</abilityName>
      <candidateList>
        <item/>
      </candidateList>
      <explain/>
      <paraID>4889B014</paraID>
      <start>8</start>
      <end>9</end>
      <status>unmodified</status>
      <modifiedWord/>
      <trackRevisions>false</trackRevisions>
    </reviewItem>
    <reviewItem>
      <errorID>c310744a-b114-4228-bb08-0605a0734a96</errorID>
      <errorWord>应当</errorWord>
      <group>L1_Punc</group>
      <groupName>标点问题</groupName>
      <ability>L2_Punc_CN</ability>
      <abilityName>标点符号检查</abilityName>
      <candidateList>
        <item>，应当</item>
      </candidateList>
      <explain/>
      <paraID>7F36EAC5</paraID>
      <start>60</start>
      <end>62</end>
      <status>unmodified</status>
      <modifiedWord/>
      <trackRevisions>false</trackRevisions>
    </reviewItem>
    <reviewItem>
      <errorID>80f70d69-4ffe-4929-a5f8-cc090572a18b</errorID>
      <errorWord>应当</errorWord>
      <group>L1_Word</group>
      <groupName>字词问题</groupName>
      <ability>L2_Typo</ability>
      <abilityName>字词错误</abilityName>
      <candidateList>
        <item>应</item>
      </candidateList>
      <explain/>
      <paraID>7F36EAC5</paraID>
      <start>104</start>
      <end>106</end>
      <status>unmodified</status>
      <modifiedWord/>
      <trackRevisions>false</trackRevisions>
    </reviewItem>
    <reviewItem>
      <errorID>69e01766-48c5-4868-b47f-c093af808ebe</errorID>
      <errorWord>。</errorWord>
      <group>L1_Grammar</group>
      <groupName>语法问题</groupName>
      <ability>L2_Grammar</ability>
      <abilityName>语法错误</abilityName>
      <candidateList>
        <item>相关信息。</item>
      </candidateList>
      <explain/>
      <paraID>60A53B4F</paraID>
      <start>106</start>
      <end>107</end>
      <status>unmodified</status>
      <modifiedWord/>
      <trackRevisions>false</trackRevisions>
    </reviewItem>
    <reviewItem>
      <errorID>df7b731a-b528-438e-880d-9df54a1554ce</errorID>
      <errorWord>禁忌证</errorWord>
      <group>L1_Word</group>
      <groupName>字词问题</groupName>
      <ability>L2_Typo</ability>
      <abilityName>字词错误</abilityName>
      <candidateList>
        <item>禁忌症</item>
      </candidateList>
      <explain>存在发音相同字词的误用。</explain>
      <paraID>16B45C63</paraID>
      <start>240</start>
      <end>243</end>
      <status>unmodified</status>
      <modifiedWord/>
      <trackRevisions>false</trackRevisions>
    </reviewItem>
    <reviewItem>
      <errorID>326f1c66-098e-42de-b59f-1c8ac60a474a</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7AB169D2</paraID>
      <start>66</start>
      <end>69</end>
      <status>unmodified</status>
      <modifiedWord/>
      <trackRevisions>false</trackRevisions>
    </reviewItem>
    <reviewItem>
      <errorID>77aa3699-b53f-4d53-97d0-aa943245c578</errorID>
      <errorWord>食品药品监管局</errorWord>
      <group>L1_Political</group>
      <groupName>政治性问题</groupName>
      <ability>L2_Keyword</ability>
      <abilityName>固定表述</abilityName>
      <candidateList>
        <item>食品药品监督管理局</item>
      </candidateList>
      <explain>此处内容疑似含有固定表述相关错误，建议核查。</explain>
      <paraID>7AB169D2</paraID>
      <start>72</start>
      <end>79</end>
      <status>unmodified</status>
      <modifiedWord/>
      <trackRevisions>false</trackRevisions>
    </reviewItem>
    <reviewItem>
      <errorID>df5b6805-1c28-4b67-98a5-16596c974856</errorID>
      <errorWord>其它</errorWord>
      <group>L1_Word</group>
      <groupName>字词问题</groupName>
      <ability>L2_Typo</ability>
      <abilityName>字词错误</abilityName>
      <candidateList>
        <item>其他</item>
      </candidateList>
      <explain/>
      <paraID> 1489AB2</paraID>
      <start>183</start>
      <end>185</end>
      <status>unmodified</status>
      <modifiedWord/>
      <trackRevisions>false</trackRevisions>
    </reviewItem>
    <reviewItem>
      <errorID>b90bed6e-5aa1-49f5-8dbb-969b36f2b553</errorID>
      <errorWord>完成</errorWord>
      <group>L1_Word</group>
      <groupName>字词问题</groupName>
      <ability>L2_Typo</ability>
      <abilityName>字词错误</abilityName>
      <candidateList>
        <item>填写</item>
      </candidateList>
      <explain/>
      <paraID>2868C1D4</paraID>
      <start>16</start>
      <end>18</end>
      <status>unmodified</status>
      <modifiedWord/>
      <trackRevisions>false</trackRevisions>
    </reviewItem>
    <reviewItem>
      <errorID>2e44393e-24d5-4d3c-9af5-acfb613ab5f9</errorID>
      <errorWord>发送</errorWord>
      <group>L1_Word</group>
      <groupName>字词问题</groupName>
      <ability>L2_Typo</ability>
      <abilityName>字词错误</abilityName>
      <candidateList>
        <item>发送至</item>
      </candidateList>
      <explain/>
      <paraID>2868C1D4</paraID>
      <start>44</start>
      <end>46</end>
      <status>unmodified</status>
      <modifiedWord/>
      <trackRevisions>false</trackRevisions>
    </reviewItem>
    <reviewItem>
      <errorID>86e005bc-cb03-493a-9c6b-e30db7d7f26d</errorID>
      <errorWord>严重的</errorWord>
      <group>L1_Word</group>
      <groupName>字词问题</groupName>
      <ability>L2_Typo</ability>
      <abilityName>字词错误</abilityName>
      <candidateList>
        <item>严重</item>
      </candidateList>
      <explain/>
      <paraID>4C86F0FA</paraID>
      <start>3</start>
      <end>6</end>
      <status>unmodified</status>
      <modifiedWord/>
      <trackRevisions>false</trackRevisions>
    </reviewItem>
    <reviewItem>
      <errorID>bce7eea5-0e70-4cf1-ab57-6a37b61b1f25</errorID>
      <errorWord>-</errorWord>
      <group>L1_Format</group>
      <groupName>格式问题</groupName>
      <ability>L2_HalfPunc_CN</ability>
      <abilityName>全半角检查</abilityName>
      <candidateList>
        <item>－</item>
      </candidateList>
      <explain>文本全半角错误。</explain>
      <paraID>7949A608</paraID>
      <start>7</start>
      <end>8</end>
      <status>unmodified</status>
      <modifiedWord/>
      <trackRevisions>false</trackRevisions>
    </reviewItem>
    <reviewItem>
      <errorID>84f66deb-08b9-4030-aadb-081456635f6e</errorID>
      <errorWord>05）、</errorWord>
      <group>L1_Punc</group>
      <groupName>标点问题</groupName>
      <ability>L2_Punc_CN</ability>
      <abilityName>标点符号检查</abilityName>
      <candidateList>
        <item>05）</item>
      </candidateList>
      <explain>根据国标GB/T 15834-2011《标点符号用法》中的4.5.3.3节，带括号的汉字数字或阿拉伯数字表次序时，后面通常不加顿号。如“（一）指导思想”“（二）行动指南”。</explain>
      <paraID>31C66487</paraID>
      <start>78</start>
      <end>82</end>
      <status>unmodified</status>
      <modifiedWord/>
      <trackRevisions>false</trackRevisions>
    </reviewItem>
    <reviewItem>
      <errorID>fa2ccd41-a24a-4167-b125-9b851952b68d</errorID>
      <errorWord>泌尿道感染</errorWord>
      <group>L1_Knowledge</group>
      <groupName>知识性问题</groupName>
      <ability>L2_Term</ability>
      <abilityName>专业术语</abilityName>
      <candidateList>
        <item>尿路感染</item>
      </candidateList>
      <explain>医学名词[泌尿道感染]为不规范表述或旧称，其规范书面表述为[尿路感染]。</explain>
      <paraID> 5AB9CED</paraID>
      <start>33</start>
      <end>38</end>
      <status>unmodified</status>
      <modifiedWord/>
      <trackRevisions>false</trackRevisions>
    </reviewItem>
    <reviewItem>
      <errorID>1823b2d2-5478-45b4-adc3-84262bf1df3d</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1B451504</paraID>
      <start>24</start>
      <end>27</end>
      <status>unmodified</status>
      <modifiedWord/>
      <trackRevisions>false</trackRevisions>
    </reviewItem>
    <reviewItem>
      <errorID>39b7e1e4-1d5f-49de-b92d-2e036b6513a2</errorID>
      <errorWord>？</errorWord>
      <group>L1_Punc</group>
      <groupName>标点问题</groupName>
      <ability>L2_Punc_CN</ability>
      <abilityName>标点符号检查</abilityName>
      <candidateList/>
      <explain/>
      <paraID>6B147FB6</paraID>
      <start>0</start>
      <end>1</end>
      <status>unmodified</status>
      <modifiedWord/>
      <trackRevisions>false</trackRevisions>
    </reviewItem>
    <reviewItem>
      <errorID>38eed983-c39a-4add-a887-4667b462aaf4</errorID>
      <errorWord>？</errorWord>
      <group>L1_Punc</group>
      <groupName>标点问题</groupName>
      <ability>L2_Punc_CN</ability>
      <abilityName>标点符号检查</abilityName>
      <candidateList/>
      <explain/>
      <paraID>75E51CDF</paraID>
      <start>0</start>
      <end>1</end>
      <status>unmodified</status>
      <modifiedWord/>
      <trackRevisions>false</trackRevisions>
    </reviewItem>
    <reviewItem>
      <errorID>f2396419-26b2-4d94-b972-25d0947e2d45</errorID>
      <errorWord>？</errorWord>
      <group>L1_Punc</group>
      <groupName>标点问题</groupName>
      <ability>L2_Punc_CN</ability>
      <abilityName>标点符号检查</abilityName>
      <candidateList/>
      <explain/>
      <paraID>24AC7BB5</paraID>
      <start>0</start>
      <end>1</end>
      <status>unmodified</status>
      <modifiedWord/>
      <trackRevisions>false</trackRevisions>
    </reviewItem>
    <reviewItem>
      <errorID>747da839-3249-45a4-baef-eadc82883157</errorID>
      <errorWord>必须</errorWord>
      <group>L1_Word</group>
      <groupName>字词问题</groupName>
      <ability>L2_Typo</ability>
      <abilityName>字词错误</abilityName>
      <candidateList>
        <item>必需</item>
      </candidateList>
      <explain>存在发音相同字词的误用。</explain>
      <paraID>75472513</paraID>
      <start>3</start>
      <end>5</end>
      <status>unmodified</status>
      <modifiedWord/>
      <trackRevisions>false</trackRevisions>
    </reviewItem>
    <reviewItem>
      <errorID>bcb04cc7-d3e4-41e5-90fb-4d7d53323295</errorID>
      <errorWord>；？</errorWord>
      <group>L1_Punc</group>
      <groupName>标点问题</groupName>
      <ability>L2_Punc_CN</ability>
      <abilityName>标点符号检查</abilityName>
      <candidateList>
        <item>；</item>
      </candidateList>
      <explain/>
      <paraID> 17EB617</paraID>
      <start>29</start>
      <end>31</end>
      <status>unmodified</status>
      <modifiedWord/>
      <trackRevisions>false</trackRevisions>
    </reviewItem>
    <reviewItem>
      <errorID>1b613f4c-42b3-4a4f-a170-62283a93514c</errorID>
      <errorWord>作</errorWord>
      <group>L1_Word</group>
      <groupName>字词问题</groupName>
      <ability>L2_Typo</ability>
      <abilityName>字词错误</abilityName>
      <candidateList>
        <item>做</item>
      </candidateList>
      <explain>存在发音相同字词的误用。</explain>
      <paraID>4275944A</paraID>
      <start>143</start>
      <end>144</end>
      <status>unmodified</status>
      <modifiedWord/>
      <trackRevisions>false</trackRevisions>
    </reviewItem>
    <reviewItem>
      <errorID>c610377e-f5ed-4344-bc19-bfc78af9b445</errorID>
      <errorWord>给与</errorWord>
      <group>L1_Word</group>
      <groupName>字词问题</groupName>
      <ability>L2_Typo</ability>
      <abilityName>字词错误</abilityName>
      <candidateList>
        <item>给予</item>
      </candidateList>
      <explain/>
      <paraID>2A8EBCC6</paraID>
      <start>252</start>
      <end>254</end>
      <status>unmodified</status>
      <modifiedWord/>
      <trackRevisions>false</trackRevisions>
    </reviewItem>
    <reviewItem>
      <errorID>7448e4ef-75c0-4132-a09d-5215e4123353</errorID>
      <errorWord>判定评价</errorWord>
      <group>L1_Grammar</group>
      <groupName>语法问题</groupName>
      <ability>L2_Grammar</ability>
      <abilityName>语法错误</abilityName>
      <candidateList>
        <item>判定</item>
      </candidateList>
      <explain/>
      <paraID>1CEBA9ED</paraID>
      <start>11</start>
      <end>15</end>
      <status>unmodified</status>
      <modifiedWord/>
      <trackRevisions>false</trackRevisions>
    </reviewItem>
    <reviewItem>
      <errorID>4b4a130e-004f-4e5e-a69d-e2899b76a368</errorID>
      <errorWord>过敏</errorWord>
      <group>L1_Grammar</group>
      <groupName>语法问题</groupName>
      <ability>L2_Grammar</ability>
      <abilityName>语法错误</abilityName>
      <candidateList>
        <item> 严重过敏</item>
      </candidateList>
      <explain/>
      <paraID>4277FB45</paraID>
      <start>5</start>
      <end>7</end>
      <status>unmodified</status>
      <modifiedWord/>
      <trackRevisions>false</trackRevisions>
    </reviewItem>
    <reviewItem>
      <errorID>f0fc6179-769d-41a0-b3ed-da7a6e08d50d</errorID>
      <errorWord>严重</errorWord>
      <group>L1_Word</group>
      <groupName>字词问题</groupName>
      <ability>L2_Typo</ability>
      <abilityName>字词错误</abilityName>
      <candidateList>
        <item> 严重</item>
      </candidateList>
      <explain/>
      <paraID>3AB78975</paraID>
      <start>5</start>
      <end>7</end>
      <status>unmodified</status>
      <modifiedWord/>
      <trackRevisions>false</trackRevisions>
    </reviewItem>
    <reviewItem>
      <errorID>e6f22475-563d-489f-840a-656a60cda74c</errorID>
      <errorWord>严重</errorWord>
      <group>L1_Word</group>
      <groupName>字词问题</groupName>
      <ability>L2_Typo</ability>
      <abilityName>字词错误</abilityName>
      <candidateList>
        <item> 严重</item>
      </candidateList>
      <explain/>
      <paraID>7C2F52DE</paraID>
      <start>5</start>
      <end>7</end>
      <status>unmodified</status>
      <modifiedWord/>
      <trackRevisions>false</trackRevisions>
    </reviewItem>
    <reviewItem>
      <errorID>9813df52-a6fa-46ff-be3b-6ea1f0215d37</errorID>
      <errorWord>肌肉注射</errorWord>
      <group>L1_Word</group>
      <groupName>字词问题</groupName>
      <ability>L2_Typo</ability>
      <abilityName>字词错误</abilityName>
      <candidateList>
        <item>肌内注射</item>
      </candidateList>
      <explain/>
      <paraID>6CA67E3C</paraID>
      <start>155</start>
      <end>159</end>
      <status>unmodified</status>
      <modifiedWord/>
      <trackRevisions>false</trackRevisions>
    </reviewItem>
    <reviewItem>
      <errorID>0eaa95d2-86c8-4dd4-8ed5-be8dc7741e8b</errorID>
      <errorWord>判定评价</errorWord>
      <group>L1_Grammar</group>
      <groupName>语法问题</groupName>
      <ability>L2_Grammar</ability>
      <abilityName>语法错误</abilityName>
      <candidateList>
        <item>判定</item>
      </candidateList>
      <explain/>
      <paraID>  11610A</paraID>
      <start>8</start>
      <end>12</end>
      <status>unmodified</status>
      <modifiedWord/>
      <trackRevisions>false</trackRevisions>
    </reviewItem>
    <reviewItem>
      <errorID>72b69bae-51a9-4439-85ee-81cf59b43092</errorID>
      <errorWord>重症</errorWord>
      <group>L1_Word</group>
      <groupName>字词问题</groupName>
      <ability>L2_Typo</ability>
      <abilityName>字词错误</abilityName>
      <candidateList>
        <item> 重症</item>
      </candidateList>
      <explain/>
      <paraID>214330FE</paraID>
      <start>5</start>
      <end>7</end>
      <status>unmodified</status>
      <modifiedWord/>
      <trackRevisions>false</trackRevisions>
    </reviewItem>
    <reviewItem>
      <errorID>c035dea5-0344-401f-a5d0-ef1106820697</errorID>
      <errorWord>重症</errorWord>
      <group>L1_Word</group>
      <groupName>字词问题</groupName>
      <ability>L2_Typo</ability>
      <abilityName>字词错误</abilityName>
      <candidateList>
        <item> 重症</item>
      </candidateList>
      <explain/>
      <paraID>3EABFFED</paraID>
      <start>5</start>
      <end>7</end>
      <status>unmodified</status>
      <modifiedWord/>
      <trackRevisions>false</trackRevisions>
    </reviewItem>
    <reviewItem>
      <errorID>f163c338-8706-410f-943d-de4af72d5484</errorID>
      <errorWord>重症</errorWord>
      <group>L1_Word</group>
      <groupName>字词问题</groupName>
      <ability>L2_Typo</ability>
      <abilityName>字词错误</abilityName>
      <candidateList>
        <item> 重症</item>
      </candidateList>
      <explain/>
      <paraID> ADE19EC</paraID>
      <start>5</start>
      <end>7</end>
      <status>unmodified</status>
      <modifiedWord/>
      <trackRevisions>false</trackRevisions>
    </reviewItem>
    <reviewItem>
      <errorID>8064ff74-10c8-4168-8398-70c63f66b8f3</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4FF683DE</paraID>
      <start>30</start>
      <end>31</end>
      <status>unmodified</status>
      <modifiedWord/>
      <trackRevisions>false</trackRevisions>
    </reviewItem>
    <reviewItem>
      <errorID>80a27414-1322-4de9-94b1-8dd1b50a61dd</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243F52FD</paraID>
      <start>93</start>
      <end>97</end>
      <status>unmodified</status>
      <modifiedWord/>
      <trackRevisions>false</trackRevisions>
    </reviewItem>
    <reviewItem>
      <errorID>096c6daa-b2b9-437e-988b-eef0970f7ae5</errorID>
      <errorWord>如下</errorWord>
      <group>L1_Grammar</group>
      <groupName>语法问题</groupName>
      <ability>L2_Grammar</ability>
      <abilityName>语法错误</abilityName>
      <candidateList>
        <item>具体表现如下</item>
      </candidateList>
      <explain/>
      <paraID>243F52FD</paraID>
      <start>125</start>
      <end>127</end>
      <status>unmodified</status>
      <modifiedWord/>
      <trackRevisions>false</trackRevisions>
    </reviewItem>
    <reviewItem>
      <errorID>85b7fb0a-a65e-4fd1-bbe0-07fd25e949dc</errorID>
      <errorWord>②或</errorWord>
      <group>L1_Word</group>
      <groupName>字词问题</groupName>
      <ability>L2_Typo</ability>
      <abilityName>字词错误</abilityName>
      <candidateList>
        <item>②</item>
      </candidateList>
      <explain/>
      <paraID>62393889</paraID>
      <start>39</start>
      <end>41</end>
      <status>unmodified</status>
      <modifiedWord/>
      <trackRevisions>false</trackRevisions>
    </reviewItem>
    <reviewItem>
      <errorID>e16f3fe3-082d-4201-908c-254dc605476a</errorID>
      <errorWord>食欲不振</errorWord>
      <group>L1_Knowledge</group>
      <groupName>知识性问题</groupName>
      <ability>L2_Term</ability>
      <abilityName>专业术语</abilityName>
      <candidateList>
        <item>食欲缺乏</item>
      </candidateList>
      <explain>医学名词[食欲不振]为不规范表述或旧称，其规范书面表述为[食欲缺乏]。</explain>
      <paraID>7962EB3F</paraID>
      <start>86</start>
      <end>90</end>
      <status>unmodified</status>
      <modifiedWord/>
      <trackRevisions>false</trackRevisions>
    </reviewItem>
    <reviewItem>
      <errorID>10af16b0-3659-490d-a73e-e6898caf1518</errorID>
      <errorWord>任</errorWord>
      <group>L1_Word</group>
      <groupName>字词问题</groupName>
      <ability>L2_Typo</ability>
      <abilityName>字词错误</abilityName>
      <candidateList>
        <item>任何</item>
      </candidateList>
      <explain>〈代〉指示代词。不论什么：～人都要遵纪守法｜我们能够战胜～困难。</explain>
      <paraID>3760AFC0</paraID>
      <start>38</start>
      <end>39</end>
      <status>unmodified</status>
      <modifiedWord/>
      <trackRevisions>false</trackRevisions>
    </reviewItem>
    <reviewItem>
      <errorID>7baa2ba1-9d24-4578-9551-07053b4ca212</errorID>
      <errorWord>▪</errorWord>
      <group>L1_Word</group>
      <groupName>字词问题</groupName>
      <ability>L2_Typo</ability>
      <abilityName>字词错误</abilityName>
      <candidateList>
        <item>·</item>
      </candidateList>
      <explain/>
      <paraID>7D3BF834</paraID>
      <start>103</start>
      <end>104</end>
      <status>unmodified</status>
      <modifiedWord/>
      <trackRevisions>false</trackRevisions>
    </reviewItem>
    <reviewItem>
      <errorID>d6b46967-6a6c-4127-9418-4d1c5c9323eb</errorID>
      <errorWord>▪</errorWord>
      <group>L1_Word</group>
      <groupName>字词问题</groupName>
      <ability>L2_Typo</ability>
      <abilityName>字词错误</abilityName>
      <candidateList>
        <item>·</item>
      </candidateList>
      <explain/>
      <paraID>64F9E466</paraID>
      <start>70</start>
      <end>71</end>
      <status>unmodified</status>
      <modifiedWord/>
      <trackRevisions>false</trackRevisions>
    </reviewItem>
    <reviewItem>
      <errorID>e0b9dfcb-b657-449a-bf4a-eb51bad7c5e0</errorID>
      <errorWord>，</errorWord>
      <group>L1_Word</group>
      <groupName>字词问题</groupName>
      <ability>L2_Typo</ability>
      <abilityName>字词错误</abilityName>
      <candidateList>
        <item>，因</item>
      </candidateList>
      <explain/>
      <paraID>64F9E466</paraID>
      <start>137</start>
      <end>138</end>
      <status>unmodified</status>
      <modifiedWord/>
      <trackRevisions>false</trackRevisions>
    </reviewItem>
    <reviewItem>
      <errorID>0b067a8b-0e6c-4df6-8af1-390174c5ebd4</errorID>
      <errorWord>此</errorWord>
      <group>L1_Word</group>
      <groupName>字词问题</groupName>
      <ability>L2_Typo</ability>
      <abilityName>字词错误</abilityName>
      <candidateList>
        <item>因此</item>
      </candidateList>
      <explain/>
      <paraID>64F9E466</paraID>
      <start>138</start>
      <end>139</end>
      <status>unmodified</status>
      <modifiedWord/>
      <trackRevisions>false</trackRevisions>
    </reviewItem>
    <reviewItem>
      <errorID>f8c9154e-1108-4de5-a8b3-db1171cb32e6</errorID>
      <errorWord>▪</errorWord>
      <group>L1_Word</group>
      <groupName>字词问题</groupName>
      <ability>L2_Typo</ability>
      <abilityName>字词错误</abilityName>
      <candidateList>
        <item>·</item>
      </candidateList>
      <explain/>
      <paraID>507C54C3</paraID>
      <start>62</start>
      <end>63</end>
      <status>unmodified</status>
      <modifiedWord/>
      <trackRevisions>false</trackRevisions>
    </reviewItem>
    <reviewItem>
      <errorID>7d4aa516-5a99-4ad5-9b6b-40e3f36ecae9</errorID>
      <errorWord>▪</errorWord>
      <group>L1_Word</group>
      <groupName>字词问题</groupName>
      <ability>L2_Typo</ability>
      <abilityName>字词错误</abilityName>
      <candidateList>
        <item>·</item>
      </candidateList>
      <explain/>
      <paraID>78AE572B</paraID>
      <start>83</start>
      <end>84</end>
      <status>unmodified</status>
      <modifiedWord/>
      <trackRevisions>false</trackRevisions>
    </reviewItem>
    <reviewItem>
      <errorID>93cea92f-8ad7-4fd8-9293-e603281cd987</errorID>
      <errorWord>达到</errorWord>
      <group>L1_Word</group>
      <groupName>字词问题</groupName>
      <ability>L2_Typo</ability>
      <abilityName>字词错误</abilityName>
      <candidateList>
        <item>持续</item>
      </candidateList>
      <explain/>
      <paraID>78AE572B</paraID>
      <start>86</start>
      <end>88</end>
      <status>unmodified</status>
      <modifiedWord/>
      <trackRevisions>false</trackRevisions>
    </reviewItem>
    <reviewItem>
      <errorID>d19dea20-a058-461a-b337-9b4a479d441b</errorID>
      <errorWord>达到</errorWord>
      <group>L1_Word</group>
      <groupName>字词问题</groupName>
      <ability>L2_Typo</ability>
      <abilityName>字词错误</abilityName>
      <candidateList>
        <item>持续</item>
      </candidateList>
      <explain/>
      <paraID>78AE572B</paraID>
      <start>94</start>
      <end>96</end>
      <status>unmodified</status>
      <modifiedWord/>
      <trackRevisions>false</trackRevisions>
    </reviewItem>
    <reviewItem>
      <errorID>a65fc832-931e-4ef8-b3f8-251c18f1276a</errorID>
      <errorWord>h</errorWord>
      <group>L1_Word</group>
      <groupName>字词问题</groupName>
      <ability>L2_Typo</ability>
      <abilityName>字词错误</abilityName>
      <candidateList>
        <item>小时</item>
      </candidateList>
      <explain/>
      <paraID>499A3A2D</paraID>
      <start>19</start>
      <end>20</end>
      <status>unmodified</status>
      <modifiedWord/>
      <trackRevisions>false</trackRevisions>
    </reviewItem>
    <reviewItem>
      <errorID>72eac255-5eff-4058-ba10-3e6a78a0c94e</errorID>
      <errorWord>~</errorWord>
      <group>L1_Format</group>
      <groupName>格式问题</groupName>
      <ability>L2_HalfPunc_CN</ability>
      <abilityName>全半角检查</abilityName>
      <candidateList>
        <item>～</item>
      </candidateList>
      <explain>文本全半角错误。</explain>
      <paraID>31980CDD</paraID>
      <start>15</start>
      <end>16</end>
      <status>unmodified</status>
      <modifiedWord/>
      <trackRevisions>false</trackRevisions>
    </reviewItem>
    <reviewItem>
      <errorID>022d7039-f3a8-4d0a-aa1b-eb8c29aabe59</errorID>
      <errorWord>4</errorWord>
      <group>L1_Word</group>
      <groupName>字词问题</groupName>
      <ability>L2_Typo</ability>
      <abilityName>字词错误</abilityName>
      <candidateList>
        <item>04</item>
      </candidateList>
      <explain/>
      <paraID>655946AD</paraID>
      <start>151</start>
      <end>152</end>
      <status>unmodified</status>
      <modifiedWord/>
      <trackRevisions>false</trackRevisions>
    </reviewItem>
    <reviewItem>
      <errorID>781bf308-e431-4742-b712-c4c7d04f1565</errorID>
      <errorWord>，或者</errorWord>
      <group>L1_Grammar</group>
      <groupName>语法问题</groupName>
      <ability>L2_Grammar</ability>
      <abilityName>语法错误</abilityName>
      <candidateList>
        <item>、</item>
      </candidateList>
      <explain/>
      <paraID>6AD6D08B</paraID>
      <start>33</start>
      <end>36</end>
      <status>unmodified</status>
      <modifiedWord/>
      <trackRevisions>false</trackRevisions>
    </reviewItem>
    <reviewItem>
      <errorID>5fab5d7e-85b0-4929-a99f-e57db76b7f96</errorID>
      <errorWord>1项</errorWord>
      <group>L1_Word</group>
      <groupName>字词问题</groupName>
      <ability>L2_Typo</ability>
      <abilityName>字词错误</abilityName>
      <candidateList>
        <item>一项</item>
      </candidateList>
      <explain/>
      <paraID>21014221</paraID>
      <start>6</start>
      <end>8</end>
      <status>unmodified</status>
      <modifiedWord/>
      <trackRevisions>false</trackRevisions>
    </reviewItem>
    <reviewItem>
      <errorID>7c7eeb03-ff80-44e5-a173-de5ec0611fe6</errorID>
      <errorWord>（</errorWord>
      <group>L1_Format</group>
      <groupName>格式问题</groupName>
      <ability>L2_HalfPunc_CN</ability>
      <abilityName>全半角检查</abilityName>
      <candidateList>
        <item>(</item>
      </candidateList>
      <explain>文本全半角错误。</explain>
      <paraID>43ED8D2F</paraID>
      <start>0</start>
      <end>1</end>
      <status>unmodified</status>
      <modifiedWord/>
      <trackRevisions>false</trackRevisions>
    </reviewItem>
    <reviewItem>
      <errorID>6f064b1c-860b-405a-9c17-b3fe9caefab3</errorID>
      <errorWord>）</errorWord>
      <group>L1_Format</group>
      <groupName>格式问题</groupName>
      <ability>L2_HalfPunc_CN</ability>
      <abilityName>全半角检查</abilityName>
      <candidateList>
        <item>)</item>
      </candidateList>
      <explain>文本全半角错误。</explain>
      <paraID>43ED8D2F</paraID>
      <start>7</start>
      <end>8</end>
      <status>unmodified</status>
      <modifiedWord/>
      <trackRevisions>false</trackRevisions>
    </reviewItem>
    <reviewItem>
      <errorID>e9f8ee1b-33ff-4bb4-ad3a-933503df6dc7</errorID>
      <errorWord>（</errorWord>
      <group>L1_Format</group>
      <groupName>格式问题</groupName>
      <ability>L2_HalfPunc_CN</ability>
      <abilityName>全半角检查</abilityName>
      <candidateList>
        <item>(</item>
      </candidateList>
      <explain>文本全半角错误。</explain>
      <paraID>15F57BEB</paraID>
      <start>0</start>
      <end>1</end>
      <status>unmodified</status>
      <modifiedWord/>
      <trackRevisions>false</trackRevisions>
    </reviewItem>
    <reviewItem>
      <errorID>322af06a-3e0c-4964-ab29-368ebb937105</errorID>
      <errorWord>）</errorWord>
      <group>L1_Format</group>
      <groupName>格式问题</groupName>
      <ability>L2_HalfPunc_CN</ability>
      <abilityName>全半角检查</abilityName>
      <candidateList>
        <item>)</item>
      </candidateList>
      <explain>文本全半角错误。</explain>
      <paraID>15F57BEB</paraID>
      <start>4</start>
      <end>5</end>
      <status>unmodified</status>
      <modifiedWord/>
      <trackRevisions>false</trackRevisions>
    </reviewItem>
    <reviewItem>
      <errorID>8f381f5b-8a83-442a-bd83-944f64a14dfc</errorID>
      <errorWord>～</errorWord>
      <group>L1_Format</group>
      <groupName>格式问题</groupName>
      <ability>L2_HalfPunc_CN</ability>
      <abilityName>全半角检查</abilityName>
      <candidateList>
        <item>~</item>
      </candidateList>
      <explain>文本全半角错误。</explain>
      <paraID>2906E739</paraID>
      <start>3</start>
      <end>4</end>
      <status>unmodified</status>
      <modifiedWord/>
      <trackRevisions>false</trackRevisions>
    </reviewItem>
    <reviewItem>
      <errorID>a7100951-c2a9-431e-b390-150c9022132c</errorID>
      <errorWord>～</errorWord>
      <group>L1_Format</group>
      <groupName>格式问题</groupName>
      <ability>L2_HalfPunc_CN</ability>
      <abilityName>全半角检查</abilityName>
      <candidateList>
        <item>~</item>
      </candidateList>
      <explain>文本全半角错误。</explain>
      <paraID>7A7044C1</paraID>
      <start>3</start>
      <end>4</end>
      <status>unmodified</status>
      <modifiedWord/>
      <trackRevisions>false</trackRevisions>
    </reviewItem>
    <reviewItem>
      <errorID>a8f60a79-bc8d-4d19-8b95-88ed7c6a2d61</errorID>
      <errorWord>～</errorWord>
      <group>L1_Format</group>
      <groupName>格式问题</groupName>
      <ability>L2_HalfPunc_CN</ability>
      <abilityName>全半角检查</abilityName>
      <candidateList>
        <item>~</item>
      </candidateList>
      <explain>文本全半角错误。</explain>
      <paraID>3D83F598</paraID>
      <start>2</start>
      <end>3</end>
      <status>unmodified</status>
      <modifiedWord/>
      <trackRevisions>false</trackRevisions>
    </reviewItem>
    <reviewItem>
      <errorID>7473a078-3eb5-4236-97a6-1f66a8fbba7e</errorID>
      <errorWord>～</errorWord>
      <group>L1_Format</group>
      <groupName>格式问题</groupName>
      <ability>L2_HalfPunc_CN</ability>
      <abilityName>全半角检查</abilityName>
      <candidateList>
        <item>~</item>
      </candidateList>
      <explain>文本全半角错误。</explain>
      <paraID>1724D876</paraID>
      <start>3</start>
      <end>4</end>
      <status>unmodified</status>
      <modifiedWord/>
      <trackRevisions>false</trackRevisions>
    </reviewItem>
    <reviewItem>
      <errorID>4cbb1493-517e-41cb-8932-1a4711a1664b</errorID>
      <errorWord>～</errorWord>
      <group>L1_Format</group>
      <groupName>格式问题</groupName>
      <ability>L2_HalfPunc_CN</ability>
      <abilityName>全半角检查</abilityName>
      <candidateList>
        <item>~</item>
      </candidateList>
      <explain>文本全半角错误。</explain>
      <paraID>33CAA5FD</paraID>
      <start>3</start>
      <end>4</end>
      <status>unmodified</status>
      <modifiedWord/>
      <trackRevisions>false</trackRevisions>
    </reviewItem>
    <reviewItem>
      <errorID>bdf64a21-f0d5-4c7b-a8f8-cab6af860f58</errorID>
      <errorWord>～</errorWord>
      <group>L1_Format</group>
      <groupName>格式问题</groupName>
      <ability>L2_HalfPunc_CN</ability>
      <abilityName>全半角检查</abilityName>
      <candidateList>
        <item>~</item>
      </candidateList>
      <explain>文本全半角错误。</explain>
      <paraID> BE9023F</paraID>
      <start>2</start>
      <end>3</end>
      <status>unmodified</status>
      <modifiedWord/>
      <trackRevisions>false</trackRevisions>
    </reviewItem>
    <reviewItem>
      <errorID>33b30311-68ec-4c97-a613-36c236733e52</errorID>
      <errorWord>～</errorWord>
      <group>L1_Format</group>
      <groupName>格式问题</groupName>
      <ability>L2_HalfPunc_CN</ability>
      <abilityName>全半角检查</abilityName>
      <candidateList>
        <item>~</item>
      </candidateList>
      <explain>文本全半角错误。</explain>
      <paraID>2DF62D1C</paraID>
      <start>2</start>
      <end>3</end>
      <status>unmodified</status>
      <modifiedWord/>
      <trackRevisions>false</trackRevisions>
    </reviewItem>
    <reviewItem>
      <errorID>f0140871-c65c-4987-812d-0a5ca8a0f906</errorID>
      <errorWord>～</errorWord>
      <group>L1_Format</group>
      <groupName>格式问题</groupName>
      <ability>L2_HalfPunc_CN</ability>
      <abilityName>全半角检查</abilityName>
      <candidateList>
        <item>~</item>
      </candidateList>
      <explain>文本全半角错误。</explain>
      <paraID>423B4A43</paraID>
      <start>3</start>
      <end>4</end>
      <status>unmodified</status>
      <modifiedWord/>
      <trackRevisions>false</trackRevisions>
    </reviewItem>
    <reviewItem>
      <errorID>9c04297e-71bc-4ae1-a23a-8b3ca2a257d0</errorID>
      <errorWord>～</errorWord>
      <group>L1_Format</group>
      <groupName>格式问题</groupName>
      <ability>L2_HalfPunc_CN</ability>
      <abilityName>全半角检查</abilityName>
      <candidateList>
        <item>~</item>
      </candidateList>
      <explain>文本全半角错误。</explain>
      <paraID>  135821</paraID>
      <start>3</start>
      <end>4</end>
      <status>unmodified</status>
      <modifiedWord/>
      <trackRevisions>false</trackRevisions>
    </reviewItem>
    <reviewItem>
      <errorID>285ceb40-06fa-4d58-81f5-b9f70cd4d40b</errorID>
      <errorWord>～</errorWord>
      <group>L1_Format</group>
      <groupName>格式问题</groupName>
      <ability>L2_HalfPunc_CN</ability>
      <abilityName>全半角检查</abilityName>
      <candidateList>
        <item>~</item>
      </candidateList>
      <explain>文本全半角错误。</explain>
      <paraID>614098E1</paraID>
      <start>2</start>
      <end>3</end>
      <status>unmodified</status>
      <modifiedWord/>
      <trackRevisions>false</trackRevisions>
    </reviewItem>
    <reviewItem>
      <errorID>2b3614d2-012e-462d-a857-3e0ae668191a</errorID>
      <errorWord>＜</errorWord>
      <group>L1_Format</group>
      <groupName>格式问题</groupName>
      <ability>L2_HalfPunc_CN</ability>
      <abilityName>全半角检查</abilityName>
      <candidateList>
        <item>&lt;</item>
      </candidateList>
      <explain>文本全半角错误。</explain>
      <paraID>4FBB201D</paraID>
      <start>0</start>
      <end>1</end>
      <status>unmodified</status>
      <modifiedWord/>
      <trackRevisions>false</trackRevisions>
    </reviewItem>
    <reviewItem>
      <errorID>e8484ca5-f283-448f-b937-c8afc71f6582</errorID>
      <errorWord>值符合血红蛋白浓度</errorWord>
      <group>L1_Grammar</group>
      <groupName>语法问题</groupName>
      <ability>L2_Grammar</ability>
      <abilityName>语法错误</abilityName>
      <candidateList>
        <item>值</item>
      </candidateList>
      <explain/>
      <paraID>72D24AD8</paraID>
      <start>14</start>
      <end>23</end>
      <status>unmodified</status>
      <modifiedWord/>
      <trackRevisions>false</trackRevisions>
    </reviewItem>
    <reviewItem>
      <errorID>5ac16777-18d1-477a-b69c-2afa1a6cfd34</errorID>
      <errorWord>血细胞减少严重</errorWord>
      <group>L1_Word</group>
      <groupName>字词问题</groupName>
      <ability>L2_Typo</ability>
      <abilityName>字词错误</abilityName>
      <candidateList>
        <item>严重血细胞减少</item>
      </candidateList>
      <explain/>
      <paraID>72D24AD8</paraID>
      <start>33</start>
      <end>40</end>
      <status>unmodified</status>
      <modifiedWord/>
      <trackRevisions>false</trackRevisions>
    </reviewItem>
    <reviewItem>
      <errorID>017c2864-9daf-4a28-ba79-c98b56428620</errorID>
      <errorWord>任1项</errorWord>
      <group>L1_Word</group>
      <groupName>字词问题</groupName>
      <ability>L2_Typo</ability>
      <abilityName>字词错误</abilityName>
      <candidateList>
        <item>任何一项</item>
      </candidateList>
      <explain/>
      <paraID>1F1F6B92</paraID>
      <start>4</start>
      <end>7</end>
      <status>unmodified</status>
      <modifiedWord/>
      <trackRevisions>false</trackRevisions>
    </reviewItem>
    <reviewItem>
      <errorID>75582db2-033d-4eed-a9e0-16c10098fc00</errorID>
      <errorWord>任何2项</errorWord>
      <group>L1_Grammar</group>
      <groupName>语法问题</groupName>
      <ability>L2_Grammar</ability>
      <abilityName>语法错误</abilityName>
      <candidateList>
        <item>两项</item>
      </candidateList>
      <explain/>
      <paraID>1F1F6B92</paraID>
      <start>30</start>
      <end>34</end>
      <status>unmodified</status>
      <modifiedWord/>
      <trackRevisions>false</trackRevisions>
    </reviewItem>
    <reviewItem>
      <errorID>fa1aef67-7fc7-40f3-84c3-9e2245454bc9</errorID>
      <errorWord>-</errorWord>
      <group>L1_Format</group>
      <groupName>格式问题</groupName>
      <ability>L2_HalfPunc_CN</ability>
      <abilityName>全半角检查</abilityName>
      <candidateList>
        <item>－</item>
      </candidateList>
      <explain>文本全半角错误。</explain>
      <paraID>7197416C</paraID>
      <start>50</start>
      <end>51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23eb6b-05e9-437f-a88f-332fc952011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16575</Words>
  <Characters>18139</Characters>
  <Lines>313</Lines>
  <Paragraphs>88</Paragraphs>
  <TotalTime>2</TotalTime>
  <ScaleCrop>false</ScaleCrop>
  <LinksUpToDate>false</LinksUpToDate>
  <CharactersWithSpaces>18820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2025-05-15T01:54:00Z</dcterms:created>
  <dc:creator>LENOVO</dc:creator>
  <cp:lastModifiedBy>Bery2贝</cp:lastModifiedBy>
  <dcterms:modified xsi:type="dcterms:W3CDTF">2026-06-04T06:11:54Z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eyJoZGlkIjoiNjA3MGM3NmU5NDI5MDZmYWM5MjM5YmU5NGY4OWJkYjYiLCJ1c2VySWQiOiIxNDI0NDQ5NyJ9</vt:lpwstr>
  </property>
  <property fmtid="{D5CDD505-2E9C-101B-9397-08002B2CF9AE}" pid="4" name="ICV">
    <vt:lpwstr>14316005E83843B7BDF3882D87E768A7_13</vt:lpwstr>
  </property>
</Properties>
</file>