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0FE" w:rsidRDefault="005250FE" w:rsidP="005250FE">
      <w:pPr>
        <w:spacing w:line="580" w:lineRule="exact"/>
        <w:rPr>
          <w:rFonts w:ascii="黑体" w:eastAsia="黑体" w:hAnsi="黑体" w:cs="黑体" w:hint="eastAsia"/>
          <w:spacing w:val="-13"/>
          <w:sz w:val="32"/>
          <w:szCs w:val="32"/>
        </w:rPr>
      </w:pPr>
      <w:r>
        <w:rPr>
          <w:rFonts w:ascii="黑体" w:eastAsia="黑体" w:hAnsi="黑体" w:cs="黑体" w:hint="eastAsia"/>
          <w:spacing w:val="-13"/>
          <w:sz w:val="32"/>
          <w:szCs w:val="32"/>
        </w:rPr>
        <w:t>附件10</w:t>
      </w:r>
    </w:p>
    <w:p w:rsidR="005250FE" w:rsidRDefault="005250FE" w:rsidP="005250FE">
      <w:pPr>
        <w:spacing w:line="580" w:lineRule="exact"/>
        <w:jc w:val="center"/>
        <w:rPr>
          <w:rFonts w:ascii="方正小标宋简体" w:eastAsia="方正小标宋简体" w:hAnsi="方正小标宋简体" w:cs="方正小标宋简体" w:hint="eastAsia"/>
          <w:spacing w:val="-7"/>
          <w:sz w:val="36"/>
          <w:szCs w:val="36"/>
        </w:rPr>
      </w:pPr>
      <w:r>
        <w:rPr>
          <w:rFonts w:ascii="方正小标宋简体" w:eastAsia="方正小标宋简体" w:hAnsi="方正小标宋简体" w:cs="方正小标宋简体" w:hint="eastAsia"/>
          <w:spacing w:val="-7"/>
          <w:sz w:val="36"/>
          <w:szCs w:val="36"/>
        </w:rPr>
        <w:t>药品GMP书面审核管理规程</w:t>
      </w:r>
    </w:p>
    <w:p w:rsidR="005250FE" w:rsidRDefault="005250FE" w:rsidP="005250FE">
      <w:pPr>
        <w:spacing w:line="580" w:lineRule="exact"/>
        <w:jc w:val="center"/>
        <w:rPr>
          <w:rFonts w:ascii="方正楷体_GBK" w:eastAsia="方正楷体_GBK" w:hAnsi="方正楷体_GBK" w:cs="方正楷体_GBK" w:hint="eastAsia"/>
          <w:sz w:val="32"/>
          <w:szCs w:val="32"/>
        </w:rPr>
      </w:pPr>
      <w:r>
        <w:rPr>
          <w:rFonts w:ascii="方正楷体_GBK" w:eastAsia="方正楷体_GBK" w:hAnsi="方正楷体_GBK" w:cs="方正楷体_GBK" w:hint="eastAsia"/>
          <w:spacing w:val="-6"/>
          <w:sz w:val="32"/>
          <w:szCs w:val="32"/>
        </w:rPr>
        <w:t>(征求意见稿)</w:t>
      </w:r>
    </w:p>
    <w:p w:rsidR="005250FE" w:rsidRDefault="005250FE" w:rsidP="005250FE">
      <w:pPr>
        <w:spacing w:line="580" w:lineRule="exact"/>
        <w:rPr>
          <w:rFonts w:ascii="黑体" w:eastAsia="黑体" w:hAnsi="黑体" w:cs="黑体"/>
          <w:sz w:val="32"/>
          <w:szCs w:val="32"/>
        </w:rPr>
      </w:pPr>
      <w:r>
        <w:rPr>
          <w:rFonts w:ascii="黑体" w:eastAsia="黑体" w:hAnsi="黑体" w:cs="黑体" w:hint="eastAsia"/>
          <w:spacing w:val="-13"/>
          <w:sz w:val="32"/>
          <w:szCs w:val="32"/>
        </w:rPr>
        <w:t>1 目的</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由于药品现场检查是一项资源密集型检查活动，为最大限度地利用有限的检查资源，尽量减少重复检查及其检查频次，规范本省药品GMP书面审核监督管理，配套实施《湖北省药品管理实施办法》，特制订本管理规程。</w:t>
      </w:r>
    </w:p>
    <w:p w:rsidR="005250FE" w:rsidRDefault="005250FE" w:rsidP="005250FE">
      <w:pPr>
        <w:spacing w:line="580" w:lineRule="exact"/>
        <w:rPr>
          <w:rFonts w:ascii="黑体" w:eastAsia="黑体" w:hAnsi="黑体" w:cs="黑体"/>
          <w:spacing w:val="-13"/>
          <w:sz w:val="32"/>
          <w:szCs w:val="32"/>
        </w:rPr>
      </w:pPr>
      <w:r>
        <w:rPr>
          <w:rFonts w:ascii="黑体" w:eastAsia="黑体" w:hAnsi="黑体" w:cs="黑体" w:hint="eastAsia"/>
          <w:spacing w:val="-13"/>
          <w:sz w:val="32"/>
          <w:szCs w:val="32"/>
        </w:rPr>
        <w:t>2 适用范围</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药品检查机构利用现有的药品检查历史数据及近期可靠证据，基于风险作出没有必要开展现场检查监管决策时，一般启动书面审核或非现场检查。本管理规程适用于决定采取非现场检查，且仅需要通过评估药品生产企业申请资料的检查情形。一般涉及变更许可（包括关联的药品生产过程变更事项）、延续许可、注销许可检查以及延伸检查等。</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对没有实施过药品现场检查的生产场地，或历史检查记录和数据证实需要发启药品现场检查的，不得采取书面审核方式。但是可以利用书面审核评估为制定基于风险的药品现场检查计划供支持。</w:t>
      </w:r>
    </w:p>
    <w:p w:rsidR="005250FE" w:rsidRDefault="005250FE" w:rsidP="005250FE">
      <w:pPr>
        <w:spacing w:line="580" w:lineRule="exact"/>
        <w:rPr>
          <w:rFonts w:ascii="黑体" w:eastAsia="黑体" w:hAnsi="黑体" w:cs="黑体"/>
          <w:spacing w:val="-13"/>
          <w:sz w:val="32"/>
          <w:szCs w:val="32"/>
        </w:rPr>
      </w:pPr>
      <w:r>
        <w:rPr>
          <w:rFonts w:ascii="黑体" w:eastAsia="黑体" w:hAnsi="黑体" w:cs="黑体" w:hint="eastAsia"/>
          <w:spacing w:val="-13"/>
          <w:sz w:val="32"/>
          <w:szCs w:val="32"/>
        </w:rPr>
        <w:t>3 引用文件</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3.1《药品生产监督管理办法》(国家市场监督管理总局令第28号）</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3.2《药品生产质量管理规范》（2010年修订）及其附录</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3.3《药品注册管理办法》（国家市场监督管理总局令第</w:t>
      </w:r>
      <w:r>
        <w:rPr>
          <w:rFonts w:ascii="方正仿宋_GBK" w:eastAsia="方正仿宋_GBK" w:hAnsi="方正仿宋_GBK" w:cs="方正仿宋_GBK" w:hint="eastAsia"/>
          <w:sz w:val="32"/>
          <w:szCs w:val="32"/>
        </w:rPr>
        <w:lastRenderedPageBreak/>
        <w:t>27号）</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3.4《药品检查管理办法（试行）》（国药监药管〔2023〕26号）</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3.5《药品经营和使用监督管理办法》（国家市场监督管理总局令第84号）</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3.6《湖北省药品检查管理实施办法》</w:t>
      </w:r>
      <w:r>
        <w:rPr>
          <w:rFonts w:ascii="方正仿宋_GBK" w:eastAsia="方正仿宋_GBK" w:hAnsi="方正仿宋_GBK" w:cs="方正仿宋_GBK" w:hint="eastAsia"/>
          <w:color w:val="000000"/>
          <w:sz w:val="32"/>
          <w:szCs w:val="32"/>
        </w:rPr>
        <w:t>（********）</w:t>
      </w:r>
    </w:p>
    <w:p w:rsidR="005250FE" w:rsidRDefault="005250FE" w:rsidP="005250FE">
      <w:pPr>
        <w:spacing w:line="580" w:lineRule="exact"/>
        <w:ind w:left="3"/>
        <w:rPr>
          <w:rFonts w:ascii="黑体" w:eastAsia="黑体" w:hAnsi="黑体" w:cs="黑体"/>
          <w:spacing w:val="-13"/>
          <w:sz w:val="32"/>
          <w:szCs w:val="32"/>
        </w:rPr>
      </w:pPr>
      <w:r>
        <w:rPr>
          <w:rFonts w:ascii="黑体" w:eastAsia="黑体" w:hAnsi="黑体" w:cs="黑体" w:hint="eastAsia"/>
          <w:spacing w:val="-13"/>
          <w:sz w:val="32"/>
          <w:szCs w:val="32"/>
        </w:rPr>
        <w:t>4 术语和定义</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4.1 药品GMP书面审核：是药品非现场检查特殊形式。是药品检查机构基于风险需要发启非现场检查，且仅通过评估药品生产企业申请资料和指定的报告资料等文件证据，核实和确认药品生产企业制剂、原料药生产设施、质量控制实验室(含第三方)和临床试验用药品生产场地是否符合GMP一种书面检查方式。对于药品GMP符合性检查整改后预防纠正措施评估也可以基于风险采用书面审核，因此书面审核是常规检查、延伸检查等其他检查工具有效补充。</w:t>
      </w:r>
    </w:p>
    <w:p w:rsidR="005250FE" w:rsidRDefault="005250FE" w:rsidP="005250FE">
      <w:pPr>
        <w:spacing w:line="580" w:lineRule="exact"/>
        <w:ind w:left="3"/>
        <w:rPr>
          <w:rFonts w:ascii="黑体" w:eastAsia="黑体" w:hAnsi="黑体" w:cs="黑体"/>
          <w:spacing w:val="-13"/>
          <w:sz w:val="32"/>
          <w:szCs w:val="32"/>
        </w:rPr>
      </w:pPr>
      <w:r>
        <w:rPr>
          <w:rFonts w:ascii="黑体" w:eastAsia="黑体" w:hAnsi="黑体" w:cs="黑体" w:hint="eastAsia"/>
          <w:spacing w:val="-13"/>
          <w:sz w:val="32"/>
          <w:szCs w:val="32"/>
        </w:rPr>
        <w:t>5 职责</w:t>
      </w:r>
    </w:p>
    <w:p w:rsidR="005250FE" w:rsidRDefault="005250FE" w:rsidP="005250FE">
      <w:pPr>
        <w:tabs>
          <w:tab w:val="left" w:pos="7572"/>
        </w:tabs>
        <w:spacing w:line="580" w:lineRule="exact"/>
        <w:ind w:left="6" w:firstLine="539"/>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5.1 参照《药品非现场检查》管理职责执行。</w:t>
      </w:r>
    </w:p>
    <w:p w:rsidR="005250FE" w:rsidRDefault="005250FE" w:rsidP="005250FE">
      <w:pPr>
        <w:spacing w:line="580" w:lineRule="exact"/>
        <w:ind w:left="6" w:firstLine="539"/>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5.2 药品生产监管处应当会同省药品监督管理局药品审评检查中心（以下简称“检查中心”）负责核实可靠和可信来源的检查信息和历史数据，以决定是否采取书面审核。</w:t>
      </w:r>
    </w:p>
    <w:p w:rsidR="005250FE" w:rsidRDefault="005250FE" w:rsidP="005250FE">
      <w:pPr>
        <w:spacing w:line="580" w:lineRule="exact"/>
        <w:ind w:left="3" w:firstLine="538"/>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5.3 一旦采用书面审核方式由检查中心负责进行书面审核和资料审评。</w:t>
      </w:r>
    </w:p>
    <w:p w:rsidR="005250FE" w:rsidRDefault="005250FE" w:rsidP="005250FE">
      <w:pPr>
        <w:spacing w:line="580" w:lineRule="exact"/>
        <w:ind w:left="3" w:firstLine="538"/>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5.4 如延伸检查涉及跨省生产场地，基于检查信赖等可靠检查数据和记录，可以执行书面审核。</w:t>
      </w:r>
    </w:p>
    <w:p w:rsidR="005250FE" w:rsidRDefault="005250FE" w:rsidP="005250FE">
      <w:pPr>
        <w:spacing w:line="580" w:lineRule="exact"/>
        <w:ind w:left="3"/>
        <w:rPr>
          <w:rFonts w:ascii="黑体" w:eastAsia="黑体" w:hAnsi="黑体" w:cs="黑体"/>
          <w:spacing w:val="-13"/>
          <w:sz w:val="32"/>
          <w:szCs w:val="32"/>
        </w:rPr>
      </w:pPr>
      <w:r>
        <w:rPr>
          <w:rFonts w:ascii="黑体" w:eastAsia="黑体" w:hAnsi="黑体" w:cs="黑体" w:hint="eastAsia"/>
          <w:spacing w:val="-13"/>
          <w:sz w:val="32"/>
          <w:szCs w:val="32"/>
        </w:rPr>
        <w:lastRenderedPageBreak/>
        <w:t>6 工作程序及要求</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 发启条件：</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评估近期国内外药品检查机构检查报告，或核实药品生产许可周期内所有检查记录和数据，符合药品非现场检查发启条件且满足以下要求：</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6.1.1 未发生违法违规行为；</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6.1.2 被检查生产范围未发现严重缺陷项；</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6.1.3 被检查品种未发生药品召回事件；</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6.1.4 被检查单位提供的书面审核资料信息和数据是可靠的，从未发现不真实信息；</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6.1.5 如涉及跨省延伸检查，所在地药品检查机构质量管理体系应当被接受认可或建立了检查信赖。</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各类检查缺陷整改核实一般采取书面审核方式。</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 检查信息的可靠性和准确性：</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6.2.1 应建立药品生产企业申请资料真实性信用信息管理机制和档案记录，以确保申请人提供的信息真实、清晰、及时、准确；</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6.2.2 应当核实所提供的信息或资料与被审核的生产场地、生产车间或生产线相同，并且应与被审核的产品相关，无任何虚假信息；</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 审核要求</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6.3.1 药品检查机构应当根据许可事项，统一申请文件或书面审核事项需要提供文件的格式，例如：基于书面审核需要，按照药品非现场检查管理规程附件指定额外提交的文</w:t>
      </w:r>
      <w:r>
        <w:rPr>
          <w:rFonts w:ascii="方正仿宋_GBK" w:eastAsia="方正仿宋_GBK" w:hAnsi="方正仿宋_GBK" w:cs="方正仿宋_GBK" w:hint="eastAsia"/>
          <w:sz w:val="32"/>
          <w:szCs w:val="32"/>
        </w:rPr>
        <w:lastRenderedPageBreak/>
        <w:t>件，并制定书面审核要点等评估工具和审核程序，以便对所提供的文件进行统一和一致的客观评估。</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6.3.2 参与书面审核检查员应当具有药品GMP中级或以上级别检查员并有相关现场经验（延续许可检查需要书面审核的除外）。</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6.3.3 经验证的电子评估工具(软件应用程序)可用于执行桌面评估。如果无格式化、成熟的电子评估工具，也可以使用基于纸张的系统。</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6.3.4 书面审核应当考虑并关注与患者风险相关的特定产品生产中的关键产品和工艺，并基于其他合格且可信的药品检查员已检查并批准生产现场的信息。</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6.3.5 如书面审核发现关键因素，包括信息的来源及其真实性、生产场地变更、产品的复杂性和类型以及对患者的潜在风险，可以申请由书面审核变更为非现场检查或现场检查。</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6.3.6 如系检查缺陷整改情况核实采取书面审核方式，可以按照预先确定整改计划，定期提交相关整改报告及其证据性资料。</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6.3.7 书面审核应当及时完成《药品书面审核报告》，重点概述发启理由、审核重点及审核结果。对书面审核发现的问题或缺陷，应当按照相关规定要求药品生产企业在规定时限内进行整改。</w:t>
      </w:r>
    </w:p>
    <w:p w:rsidR="005250FE" w:rsidRDefault="005250FE" w:rsidP="005250FE">
      <w:pPr>
        <w:spacing w:line="58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6.3.8 定期对药品书面审核记录和数据，结合现场检查结果进行回顾，证明书面审核符合药品检查机构质量管理体</w:t>
      </w:r>
      <w:r>
        <w:rPr>
          <w:rFonts w:ascii="方正仿宋_GBK" w:eastAsia="方正仿宋_GBK" w:hAnsi="方正仿宋_GBK" w:cs="方正仿宋_GBK" w:hint="eastAsia"/>
          <w:sz w:val="32"/>
          <w:szCs w:val="32"/>
        </w:rPr>
        <w:lastRenderedPageBreak/>
        <w:t>系管理要求及药品安全风险管理需要。</w:t>
      </w:r>
    </w:p>
    <w:p w:rsidR="005250FE" w:rsidRDefault="005250FE" w:rsidP="005250FE">
      <w:pPr>
        <w:spacing w:line="580" w:lineRule="exact"/>
        <w:rPr>
          <w:rFonts w:ascii="黑体" w:eastAsia="黑体" w:hAnsi="黑体" w:cs="黑体"/>
          <w:spacing w:val="-13"/>
          <w:sz w:val="32"/>
          <w:szCs w:val="32"/>
        </w:rPr>
      </w:pPr>
      <w:r>
        <w:rPr>
          <w:rFonts w:ascii="黑体" w:eastAsia="黑体" w:hAnsi="黑体" w:cs="黑体" w:hint="eastAsia"/>
          <w:spacing w:val="-13"/>
          <w:sz w:val="32"/>
          <w:szCs w:val="32"/>
        </w:rPr>
        <w:t>7 相关记录</w:t>
      </w:r>
    </w:p>
    <w:p w:rsidR="005250FE" w:rsidRDefault="005250FE" w:rsidP="005250FE">
      <w:pPr>
        <w:spacing w:line="580" w:lineRule="exact"/>
        <w:ind w:firstLineChars="200" w:firstLine="640"/>
        <w:rPr>
          <w:rFonts w:ascii="仿宋" w:eastAsia="仿宋" w:hAnsi="仿宋" w:cs="仿宋_GB2312"/>
          <w:sz w:val="32"/>
          <w:szCs w:val="32"/>
        </w:rPr>
      </w:pPr>
      <w:r>
        <w:rPr>
          <w:rFonts w:ascii="仿宋" w:eastAsia="仿宋" w:hAnsi="仿宋" w:cs="仿宋_GB2312" w:hint="eastAsia"/>
          <w:sz w:val="32"/>
          <w:szCs w:val="32"/>
        </w:rPr>
        <w:t>7.1 药品生产书面审核报告</w:t>
      </w:r>
    </w:p>
    <w:p w:rsidR="005250FE" w:rsidRDefault="005250FE" w:rsidP="005250FE">
      <w:pPr>
        <w:spacing w:line="580" w:lineRule="exact"/>
        <w:rPr>
          <w:rFonts w:ascii="黑体" w:eastAsia="黑体" w:hAnsi="黑体" w:cs="黑体"/>
          <w:spacing w:val="-13"/>
          <w:sz w:val="32"/>
          <w:szCs w:val="32"/>
        </w:rPr>
      </w:pPr>
      <w:r>
        <w:rPr>
          <w:rFonts w:ascii="黑体" w:eastAsia="黑体" w:hAnsi="黑体" w:cs="黑体" w:hint="eastAsia"/>
          <w:spacing w:val="-13"/>
          <w:sz w:val="32"/>
          <w:szCs w:val="32"/>
        </w:rPr>
        <w:t>8 附件</w:t>
      </w:r>
    </w:p>
    <w:p w:rsidR="005250FE" w:rsidRDefault="005250FE" w:rsidP="005250FE">
      <w:pPr>
        <w:spacing w:line="580" w:lineRule="exact"/>
        <w:ind w:firstLineChars="200" w:firstLine="640"/>
        <w:rPr>
          <w:rFonts w:ascii="仿宋" w:eastAsia="仿宋" w:hAnsi="仿宋" w:cs="宋体"/>
          <w:sz w:val="32"/>
          <w:szCs w:val="32"/>
          <w:shd w:val="clear" w:color="auto" w:fill="FFFFFF"/>
        </w:rPr>
      </w:pPr>
      <w:r>
        <w:rPr>
          <w:rFonts w:ascii="仿宋" w:eastAsia="仿宋" w:hAnsi="仿宋" w:cs="仿宋_GB2312" w:hint="eastAsia"/>
          <w:sz w:val="32"/>
          <w:szCs w:val="32"/>
        </w:rPr>
        <w:t>附件10-1湖北省药品监督管理局药品生产书面审核报告</w:t>
      </w:r>
    </w:p>
    <w:p w:rsidR="005250FE" w:rsidRDefault="005250FE" w:rsidP="005250FE">
      <w:pPr>
        <w:spacing w:line="580" w:lineRule="exact"/>
        <w:rPr>
          <w:rFonts w:ascii="方正黑体_GBK" w:eastAsia="方正黑体_GBK" w:hAnsi="方正黑体_GBK" w:cs="方正黑体_GBK" w:hint="eastAsia"/>
          <w:sz w:val="32"/>
          <w:szCs w:val="32"/>
          <w:shd w:val="clear" w:color="auto" w:fill="FFFFFF"/>
        </w:rPr>
      </w:pPr>
      <w:r>
        <w:rPr>
          <w:rFonts w:ascii="仿宋" w:eastAsia="仿宋" w:hAnsi="仿宋" w:cs="宋体"/>
          <w:sz w:val="32"/>
          <w:szCs w:val="32"/>
          <w:shd w:val="clear" w:color="auto" w:fill="FFFFFF"/>
        </w:rPr>
        <w:br w:type="page"/>
      </w:r>
      <w:r>
        <w:rPr>
          <w:rFonts w:ascii="方正黑体_GBK" w:eastAsia="方正黑体_GBK" w:hAnsi="方正黑体_GBK" w:cs="方正黑体_GBK" w:hint="eastAsia"/>
          <w:sz w:val="32"/>
          <w:szCs w:val="32"/>
          <w:shd w:val="clear" w:color="auto" w:fill="FFFFFF"/>
        </w:rPr>
        <w:lastRenderedPageBreak/>
        <w:t>附件10-1</w:t>
      </w:r>
    </w:p>
    <w:p w:rsidR="005250FE" w:rsidRDefault="005250FE" w:rsidP="005250FE">
      <w:pPr>
        <w:spacing w:line="580" w:lineRule="exact"/>
        <w:jc w:val="center"/>
        <w:rPr>
          <w:rFonts w:ascii="方正小标宋简体" w:eastAsia="方正小标宋简体" w:hAnsi="方正小标宋简体" w:cs="方正小标宋简体" w:hint="eastAsia"/>
          <w:sz w:val="36"/>
          <w:szCs w:val="36"/>
          <w:shd w:val="clear" w:color="auto" w:fill="FFFFFF"/>
        </w:rPr>
      </w:pPr>
    </w:p>
    <w:p w:rsidR="005250FE" w:rsidRDefault="005250FE" w:rsidP="005250FE">
      <w:pPr>
        <w:spacing w:line="580" w:lineRule="exact"/>
        <w:jc w:val="center"/>
        <w:rPr>
          <w:rFonts w:ascii="方正小标宋简体" w:eastAsia="方正小标宋简体" w:hAnsi="方正小标宋简体" w:cs="方正小标宋简体" w:hint="eastAsia"/>
          <w:sz w:val="36"/>
          <w:szCs w:val="36"/>
        </w:rPr>
      </w:pPr>
      <w:r>
        <w:rPr>
          <w:rFonts w:ascii="方正小标宋简体" w:eastAsia="方正小标宋简体" w:hAnsi="方正小标宋简体" w:cs="方正小标宋简体" w:hint="eastAsia"/>
          <w:sz w:val="36"/>
          <w:szCs w:val="36"/>
          <w:shd w:val="clear" w:color="auto" w:fill="FFFFFF"/>
        </w:rPr>
        <w:t>湖北省药品监督管理局药品生产书面审核报告</w:t>
      </w:r>
    </w:p>
    <w:p w:rsidR="005250FE" w:rsidRDefault="005250FE" w:rsidP="005250FE">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文件编号：</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694"/>
        <w:gridCol w:w="2678"/>
        <w:gridCol w:w="1810"/>
        <w:gridCol w:w="2114"/>
      </w:tblGrid>
      <w:tr w:rsidR="005250FE" w:rsidTr="000913C4">
        <w:trPr>
          <w:jc w:val="center"/>
        </w:trPr>
        <w:tc>
          <w:tcPr>
            <w:tcW w:w="1021" w:type="pct"/>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申报品种</w:t>
            </w:r>
          </w:p>
        </w:tc>
        <w:tc>
          <w:tcPr>
            <w:tcW w:w="1614" w:type="pct"/>
          </w:tcPr>
          <w:p w:rsidR="005250FE" w:rsidRDefault="005250FE" w:rsidP="000913C4">
            <w:pPr>
              <w:spacing w:line="580" w:lineRule="exact"/>
              <w:jc w:val="center"/>
              <w:rPr>
                <w:rFonts w:ascii="方正仿宋_GBK" w:eastAsia="方正仿宋_GBK" w:hAnsi="方正仿宋_GBK" w:cs="方正仿宋_GBK" w:hint="eastAsia"/>
                <w:sz w:val="32"/>
                <w:szCs w:val="32"/>
              </w:rPr>
            </w:pPr>
          </w:p>
        </w:tc>
        <w:tc>
          <w:tcPr>
            <w:tcW w:w="1091" w:type="pct"/>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规   格</w:t>
            </w:r>
          </w:p>
        </w:tc>
        <w:tc>
          <w:tcPr>
            <w:tcW w:w="1274" w:type="pct"/>
          </w:tcPr>
          <w:p w:rsidR="005250FE" w:rsidRDefault="005250FE" w:rsidP="000913C4">
            <w:pPr>
              <w:spacing w:line="580" w:lineRule="exact"/>
              <w:jc w:val="center"/>
              <w:rPr>
                <w:rFonts w:ascii="方正仿宋_GBK" w:eastAsia="方正仿宋_GBK" w:hAnsi="方正仿宋_GBK" w:cs="方正仿宋_GBK" w:hint="eastAsia"/>
                <w:sz w:val="32"/>
                <w:szCs w:val="32"/>
              </w:rPr>
            </w:pPr>
          </w:p>
        </w:tc>
      </w:tr>
      <w:tr w:rsidR="005250FE" w:rsidTr="000913C4">
        <w:trPr>
          <w:jc w:val="center"/>
        </w:trPr>
        <w:tc>
          <w:tcPr>
            <w:tcW w:w="1021" w:type="pct"/>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受 理 号</w:t>
            </w:r>
          </w:p>
        </w:tc>
        <w:tc>
          <w:tcPr>
            <w:tcW w:w="1614" w:type="pct"/>
          </w:tcPr>
          <w:p w:rsidR="005250FE" w:rsidRDefault="005250FE" w:rsidP="000913C4">
            <w:pPr>
              <w:spacing w:line="580" w:lineRule="exact"/>
              <w:jc w:val="center"/>
              <w:rPr>
                <w:rFonts w:ascii="方正仿宋_GBK" w:eastAsia="方正仿宋_GBK" w:hAnsi="方正仿宋_GBK" w:cs="方正仿宋_GBK" w:hint="eastAsia"/>
                <w:sz w:val="32"/>
                <w:szCs w:val="32"/>
              </w:rPr>
            </w:pPr>
          </w:p>
        </w:tc>
        <w:tc>
          <w:tcPr>
            <w:tcW w:w="1091" w:type="pct"/>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审核事项</w:t>
            </w:r>
          </w:p>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类别</w:t>
            </w:r>
          </w:p>
        </w:tc>
        <w:tc>
          <w:tcPr>
            <w:tcW w:w="1274" w:type="pct"/>
          </w:tcPr>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sym w:font="Wingdings" w:char="00A8"/>
            </w:r>
            <w:r>
              <w:rPr>
                <w:rFonts w:ascii="方正仿宋_GBK" w:eastAsia="方正仿宋_GBK" w:hAnsi="方正仿宋_GBK" w:cs="方正仿宋_GBK" w:hint="eastAsia"/>
                <w:sz w:val="32"/>
                <w:szCs w:val="32"/>
              </w:rPr>
              <w:t>变更许可</w:t>
            </w:r>
          </w:p>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sym w:font="Wingdings" w:char="00A8"/>
            </w:r>
            <w:r>
              <w:rPr>
                <w:rFonts w:ascii="方正仿宋_GBK" w:eastAsia="方正仿宋_GBK" w:hAnsi="方正仿宋_GBK" w:cs="方正仿宋_GBK" w:hint="eastAsia"/>
                <w:sz w:val="32"/>
                <w:szCs w:val="32"/>
              </w:rPr>
              <w:t>延续许可</w:t>
            </w:r>
          </w:p>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sym w:font="Wingdings" w:char="00A8"/>
            </w:r>
            <w:r>
              <w:rPr>
                <w:rFonts w:ascii="方正仿宋_GBK" w:eastAsia="方正仿宋_GBK" w:hAnsi="方正仿宋_GBK" w:cs="方正仿宋_GBK" w:hint="eastAsia"/>
                <w:sz w:val="32"/>
                <w:szCs w:val="32"/>
              </w:rPr>
              <w:t>注销许可</w:t>
            </w:r>
          </w:p>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sym w:font="Wingdings" w:char="00A8"/>
            </w:r>
            <w:r>
              <w:rPr>
                <w:rFonts w:ascii="方正仿宋_GBK" w:eastAsia="方正仿宋_GBK" w:hAnsi="方正仿宋_GBK" w:cs="方正仿宋_GBK" w:hint="eastAsia"/>
                <w:sz w:val="32"/>
                <w:szCs w:val="32"/>
              </w:rPr>
              <w:t>延伸检查</w:t>
            </w:r>
          </w:p>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sym w:font="Wingdings" w:char="00A8"/>
            </w:r>
            <w:r>
              <w:rPr>
                <w:rFonts w:ascii="方正仿宋_GBK" w:eastAsia="方正仿宋_GBK" w:hAnsi="方正仿宋_GBK" w:cs="方正仿宋_GBK" w:hint="eastAsia"/>
                <w:sz w:val="32"/>
                <w:szCs w:val="32"/>
              </w:rPr>
              <w:t>GMP符合性检查后整改评估</w:t>
            </w:r>
          </w:p>
        </w:tc>
      </w:tr>
      <w:tr w:rsidR="005250FE" w:rsidTr="000913C4">
        <w:trPr>
          <w:trHeight w:val="765"/>
          <w:jc w:val="center"/>
        </w:trPr>
        <w:tc>
          <w:tcPr>
            <w:tcW w:w="1021" w:type="pct"/>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申报单位</w:t>
            </w:r>
          </w:p>
        </w:tc>
        <w:tc>
          <w:tcPr>
            <w:tcW w:w="3979" w:type="pct"/>
            <w:gridSpan w:val="3"/>
          </w:tcPr>
          <w:p w:rsidR="005250FE" w:rsidRDefault="005250FE" w:rsidP="000913C4">
            <w:pPr>
              <w:spacing w:line="580" w:lineRule="exact"/>
              <w:jc w:val="center"/>
              <w:rPr>
                <w:rFonts w:ascii="方正仿宋_GBK" w:eastAsia="方正仿宋_GBK" w:hAnsi="方正仿宋_GBK" w:cs="方正仿宋_GBK" w:hint="eastAsia"/>
                <w:sz w:val="32"/>
                <w:szCs w:val="32"/>
              </w:rPr>
            </w:pPr>
          </w:p>
        </w:tc>
      </w:tr>
      <w:tr w:rsidR="005250FE" w:rsidTr="000913C4">
        <w:trPr>
          <w:jc w:val="center"/>
        </w:trPr>
        <w:tc>
          <w:tcPr>
            <w:tcW w:w="1021" w:type="pct"/>
          </w:tcPr>
          <w:p w:rsidR="005250FE" w:rsidRDefault="005250FE" w:rsidP="000913C4">
            <w:pPr>
              <w:spacing w:line="580" w:lineRule="exact"/>
              <w:ind w:left="320" w:hangingChars="100" w:hanging="320"/>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书面审核</w:t>
            </w:r>
          </w:p>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发启原因</w:t>
            </w:r>
          </w:p>
        </w:tc>
        <w:tc>
          <w:tcPr>
            <w:tcW w:w="3979" w:type="pct"/>
            <w:gridSpan w:val="3"/>
          </w:tcPr>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tc>
      </w:tr>
      <w:tr w:rsidR="005250FE" w:rsidTr="000913C4">
        <w:trPr>
          <w:jc w:val="center"/>
        </w:trPr>
        <w:tc>
          <w:tcPr>
            <w:tcW w:w="5000" w:type="pct"/>
            <w:gridSpan w:val="4"/>
          </w:tcPr>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书面审核意见：</w:t>
            </w: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rPr>
                <w:rFonts w:ascii="方正仿宋_GBK" w:eastAsia="方正仿宋_GBK" w:hAnsi="方正仿宋_GBK" w:cs="方正仿宋_GBK" w:hint="eastAsia"/>
                <w:sz w:val="32"/>
                <w:szCs w:val="32"/>
              </w:rPr>
            </w:pPr>
          </w:p>
        </w:tc>
      </w:tr>
      <w:tr w:rsidR="005250FE" w:rsidTr="000913C4">
        <w:trPr>
          <w:trHeight w:val="4445"/>
          <w:jc w:val="center"/>
        </w:trPr>
        <w:tc>
          <w:tcPr>
            <w:tcW w:w="1021" w:type="pct"/>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其他情况</w:t>
            </w:r>
          </w:p>
        </w:tc>
        <w:tc>
          <w:tcPr>
            <w:tcW w:w="3979" w:type="pct"/>
            <w:gridSpan w:val="3"/>
            <w:vAlign w:val="center"/>
          </w:tcPr>
          <w:p w:rsidR="005250FE" w:rsidRDefault="005250FE" w:rsidP="005250FE">
            <w:pPr>
              <w:numPr>
                <w:ilvl w:val="0"/>
                <w:numId w:val="1"/>
              </w:num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如书面审核过程需要额外提交的文件，应当注明补充资料原因。</w:t>
            </w:r>
          </w:p>
          <w:p w:rsidR="005250FE" w:rsidRDefault="005250FE" w:rsidP="005250FE">
            <w:pPr>
              <w:numPr>
                <w:ilvl w:val="0"/>
                <w:numId w:val="1"/>
              </w:num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如发现检查缺陷，同《药品检查报告撰写指南》所附缺陷表；</w:t>
            </w:r>
          </w:p>
          <w:p w:rsidR="005250FE" w:rsidRDefault="005250FE" w:rsidP="005250FE">
            <w:pPr>
              <w:numPr>
                <w:ilvl w:val="0"/>
                <w:numId w:val="1"/>
              </w:num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如需要发启非现场检查、现场检查等其他检查方式，应注明原因。</w:t>
            </w:r>
          </w:p>
        </w:tc>
      </w:tr>
      <w:tr w:rsidR="005250FE" w:rsidTr="000913C4">
        <w:trPr>
          <w:jc w:val="center"/>
        </w:trPr>
        <w:tc>
          <w:tcPr>
            <w:tcW w:w="1021" w:type="pct"/>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检查员</w:t>
            </w:r>
          </w:p>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签名</w:t>
            </w:r>
          </w:p>
        </w:tc>
        <w:tc>
          <w:tcPr>
            <w:tcW w:w="3979" w:type="pct"/>
            <w:gridSpan w:val="3"/>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                审核时间：   年   月   日</w:t>
            </w:r>
          </w:p>
        </w:tc>
      </w:tr>
      <w:tr w:rsidR="005250FE" w:rsidTr="000913C4">
        <w:trPr>
          <w:trHeight w:val="2770"/>
          <w:jc w:val="center"/>
        </w:trPr>
        <w:tc>
          <w:tcPr>
            <w:tcW w:w="1021" w:type="pct"/>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检查中心部门负责人签字</w:t>
            </w:r>
          </w:p>
        </w:tc>
        <w:tc>
          <w:tcPr>
            <w:tcW w:w="3979" w:type="pct"/>
            <w:gridSpan w:val="3"/>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p>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 xml:space="preserve">                审核时间：   年   月   日</w:t>
            </w:r>
          </w:p>
        </w:tc>
      </w:tr>
      <w:tr w:rsidR="005250FE" w:rsidTr="000913C4">
        <w:trPr>
          <w:trHeight w:val="910"/>
          <w:jc w:val="center"/>
        </w:trPr>
        <w:tc>
          <w:tcPr>
            <w:tcW w:w="1021" w:type="pct"/>
            <w:vAlign w:val="center"/>
          </w:tcPr>
          <w:p w:rsidR="005250FE" w:rsidRDefault="005250FE" w:rsidP="000913C4">
            <w:pPr>
              <w:spacing w:line="580" w:lineRule="exact"/>
              <w:jc w:val="cente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备注</w:t>
            </w:r>
          </w:p>
        </w:tc>
        <w:tc>
          <w:tcPr>
            <w:tcW w:w="3979" w:type="pct"/>
            <w:gridSpan w:val="3"/>
            <w:vAlign w:val="center"/>
          </w:tcPr>
          <w:p w:rsidR="005250FE" w:rsidRDefault="005250FE" w:rsidP="000913C4">
            <w:pPr>
              <w:spacing w:line="580" w:lineRule="exact"/>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检查缺陷确认件需要被检查单位签字、盖章认可。</w:t>
            </w:r>
          </w:p>
        </w:tc>
      </w:tr>
    </w:tbl>
    <w:p w:rsidR="004D632E" w:rsidRDefault="005250FE">
      <w:r>
        <w:rPr>
          <w:rFonts w:ascii="方正黑体_GBK" w:eastAsia="方正黑体_GBK" w:hAnsi="方正黑体_GBK" w:cs="方正黑体_GBK" w:hint="eastAsia"/>
          <w:sz w:val="32"/>
          <w:szCs w:val="32"/>
          <w:lang w:bidi="ar"/>
        </w:rPr>
        <w:br w:type="page"/>
      </w:r>
      <w:bookmarkStart w:id="0" w:name="_GoBack"/>
      <w:bookmarkEnd w:id="0"/>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365" w:rsidRDefault="00AD1365" w:rsidP="005250FE">
      <w:r>
        <w:separator/>
      </w:r>
    </w:p>
  </w:endnote>
  <w:endnote w:type="continuationSeparator" w:id="0">
    <w:p w:rsidR="00AD1365" w:rsidRDefault="00AD1365" w:rsidP="00525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仿宋_GB2312">
    <w:charset w:val="86"/>
    <w:family w:val="modern"/>
    <w:pitch w:val="fixed"/>
    <w:sig w:usb0="00000001" w:usb1="080E0000" w:usb2="00000010" w:usb3="00000000" w:csb0="00040000" w:csb1="00000000"/>
  </w:font>
  <w:font w:name="方正黑体_GBK">
    <w:altName w:val="宋体"/>
    <w:charset w:val="86"/>
    <w:family w:val="auto"/>
    <w:pitch w:val="default"/>
    <w:sig w:usb0="00000000" w:usb1="0800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365" w:rsidRDefault="00AD1365" w:rsidP="005250FE">
      <w:r>
        <w:separator/>
      </w:r>
    </w:p>
  </w:footnote>
  <w:footnote w:type="continuationSeparator" w:id="0">
    <w:p w:rsidR="00AD1365" w:rsidRDefault="00AD1365" w:rsidP="00525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B41CA"/>
    <w:multiLevelType w:val="singleLevel"/>
    <w:tmpl w:val="654B41CA"/>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C06"/>
    <w:rsid w:val="004D632E"/>
    <w:rsid w:val="005250FE"/>
    <w:rsid w:val="00AD1365"/>
    <w:rsid w:val="00C54C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1D436A1-7316-477B-B3C3-C9C9A9601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50FE"/>
    <w:pPr>
      <w:widowControl w:val="0"/>
      <w:suppressAutoHyphens/>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250F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250FE"/>
    <w:rPr>
      <w:sz w:val="18"/>
      <w:szCs w:val="18"/>
    </w:rPr>
  </w:style>
  <w:style w:type="paragraph" w:styleId="a5">
    <w:name w:val="footer"/>
    <w:basedOn w:val="a"/>
    <w:link w:val="a6"/>
    <w:uiPriority w:val="99"/>
    <w:unhideWhenUsed/>
    <w:rsid w:val="005250FE"/>
    <w:pPr>
      <w:tabs>
        <w:tab w:val="center" w:pos="4153"/>
        <w:tab w:val="right" w:pos="8306"/>
      </w:tabs>
      <w:snapToGrid w:val="0"/>
      <w:jc w:val="left"/>
    </w:pPr>
    <w:rPr>
      <w:sz w:val="18"/>
      <w:szCs w:val="18"/>
    </w:rPr>
  </w:style>
  <w:style w:type="character" w:customStyle="1" w:styleId="a6">
    <w:name w:val="页脚 字符"/>
    <w:basedOn w:val="a0"/>
    <w:link w:val="a5"/>
    <w:uiPriority w:val="99"/>
    <w:rsid w:val="005250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360</Words>
  <Characters>2056</Characters>
  <Application>Microsoft Office Word</Application>
  <DocSecurity>0</DocSecurity>
  <Lines>17</Lines>
  <Paragraphs>4</Paragraphs>
  <ScaleCrop>false</ScaleCrop>
  <Company>Microsoft</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2023-12-20T03:42:00Z</dcterms:created>
  <dcterms:modified xsi:type="dcterms:W3CDTF">2023-12-20T03:42:00Z</dcterms:modified>
</cp:coreProperties>
</file>