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A69" w:rsidRDefault="00243A69" w:rsidP="00243A69">
      <w:pPr>
        <w:spacing w:line="580" w:lineRule="exact"/>
        <w:rPr>
          <w:rFonts w:ascii="方正小标宋简体" w:eastAsia="方正小标宋简体" w:hAnsi="方正小标宋简体" w:cs="方正小标宋简体" w:hint="eastAsia"/>
          <w:sz w:val="36"/>
          <w:szCs w:val="36"/>
          <w:lang w:bidi="ar"/>
        </w:rPr>
      </w:pPr>
      <w:r>
        <w:rPr>
          <w:rFonts w:ascii="方正黑体_GBK" w:eastAsia="方正黑体_GBK" w:hAnsi="方正黑体_GBK" w:cs="方正黑体_GBK" w:hint="eastAsia"/>
          <w:kern w:val="0"/>
          <w:sz w:val="32"/>
          <w:szCs w:val="32"/>
          <w:lang w:bidi="ar"/>
        </w:rPr>
        <w:t>附件5</w:t>
      </w:r>
    </w:p>
    <w:p w:rsidR="00243A69" w:rsidRDefault="00243A69" w:rsidP="00243A69">
      <w:pPr>
        <w:spacing w:line="58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  <w:lang w:bidi="ar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lang w:bidi="ar"/>
        </w:rPr>
        <w:t>药品延伸检查管理规程</w:t>
      </w:r>
    </w:p>
    <w:p w:rsidR="00243A69" w:rsidRDefault="00243A69" w:rsidP="00243A69">
      <w:pPr>
        <w:spacing w:line="580" w:lineRule="exact"/>
        <w:jc w:val="center"/>
        <w:rPr>
          <w:rFonts w:ascii="方正楷体_GBK" w:eastAsia="方正楷体_GBK" w:hAnsi="方正楷体_GBK" w:cs="方正楷体_GBK" w:hint="eastAsia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  <w:lang w:bidi="ar"/>
        </w:rPr>
        <w:t>（征求意见稿）</w:t>
      </w:r>
    </w:p>
    <w:p w:rsidR="00243A69" w:rsidRDefault="00243A69" w:rsidP="00243A69">
      <w:pPr>
        <w:spacing w:line="580" w:lineRule="exact"/>
        <w:rPr>
          <w:rFonts w:ascii="黑体" w:eastAsia="黑体" w:hAnsi="黑体" w:cs="微软雅黑"/>
          <w:sz w:val="32"/>
          <w:szCs w:val="32"/>
        </w:rPr>
      </w:pPr>
      <w:r>
        <w:rPr>
          <w:rFonts w:ascii="黑体" w:eastAsia="黑体" w:hAnsi="黑体" w:cs="微软雅黑" w:hint="eastAsia"/>
          <w:sz w:val="32"/>
          <w:szCs w:val="32"/>
        </w:rPr>
        <w:t>1 目的</w:t>
      </w:r>
    </w:p>
    <w:p w:rsidR="00243A69" w:rsidRDefault="00243A69" w:rsidP="00243A69">
      <w:pPr>
        <w:spacing w:line="580" w:lineRule="exact"/>
        <w:ind w:firstLine="48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为规范本省药品生产延伸检查活动，配套实施《湖北省药品管理实施办法》,特制订本管理规程。</w:t>
      </w:r>
    </w:p>
    <w:p w:rsidR="00243A69" w:rsidRDefault="00243A69" w:rsidP="00243A69">
      <w:pPr>
        <w:spacing w:line="58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2 适用范围</w:t>
      </w:r>
    </w:p>
    <w:p w:rsidR="00243A69" w:rsidRDefault="00243A69" w:rsidP="00243A69">
      <w:pPr>
        <w:pStyle w:val="a5"/>
        <w:spacing w:line="58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本管理规程适用于本省药品检查机构开展的药品生产环节、药品供应链涉及经营环节的延伸检查活动。</w:t>
      </w:r>
    </w:p>
    <w:p w:rsidR="00243A69" w:rsidRDefault="00243A69" w:rsidP="00243A69">
      <w:pPr>
        <w:pStyle w:val="a5"/>
        <w:spacing w:line="58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本管理规程不适用药品研制环节的延伸检查活动，但药品上市后因生产过程变更管理（即CMC）涉及的药品GMP符合性检查发启的延伸检查除外。</w:t>
      </w:r>
    </w:p>
    <w:p w:rsidR="00243A69" w:rsidRDefault="00243A69" w:rsidP="00243A69">
      <w:pPr>
        <w:spacing w:line="580" w:lineRule="exact"/>
        <w:ind w:left="3"/>
        <w:rPr>
          <w:rFonts w:ascii="黑体" w:eastAsia="黑体" w:hAnsi="黑体" w:cs="微软雅黑"/>
          <w:spacing w:val="-13"/>
          <w:sz w:val="32"/>
          <w:szCs w:val="32"/>
        </w:rPr>
      </w:pPr>
      <w:r>
        <w:rPr>
          <w:rFonts w:ascii="黑体" w:eastAsia="黑体" w:hAnsi="黑体" w:cs="微软雅黑"/>
          <w:spacing w:val="-13"/>
          <w:sz w:val="32"/>
          <w:szCs w:val="32"/>
        </w:rPr>
        <w:t>3 引用文件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3.1</w:t>
      </w:r>
      <w:r>
        <w:rPr>
          <w:rFonts w:ascii="仿宋" w:eastAsia="仿宋" w:hAnsi="仿宋" w:cs="仿宋_GB2312" w:hint="eastAsia"/>
          <w:sz w:val="32"/>
          <w:szCs w:val="32"/>
        </w:rPr>
        <w:t>《药品生产监督管理办法》(国家市场监督管理总局令第28号）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3.2《药品生产质量管理规范》（2010年修订）及其附录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3.3 </w:t>
      </w:r>
      <w:r>
        <w:rPr>
          <w:rFonts w:ascii="仿宋" w:eastAsia="仿宋" w:hAnsi="仿宋" w:cs="仿宋_GB2312" w:hint="eastAsia"/>
          <w:spacing w:val="-11"/>
          <w:sz w:val="32"/>
          <w:szCs w:val="32"/>
        </w:rPr>
        <w:t>《药品注册管理办法》（国家市场监督管理总局令第27号）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3.4《药品检查管理办法（试行）》（国药监药管〔2023〕26号）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3.5 《药品经营和使用监督管理办法》（国家市场监督管理总局令第84号）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3.6《湖北省药品检查管理实施办法》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（********）</w:t>
      </w:r>
    </w:p>
    <w:p w:rsidR="00243A69" w:rsidRDefault="00243A69" w:rsidP="00243A69">
      <w:pPr>
        <w:spacing w:line="58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4 术语及定义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lastRenderedPageBreak/>
        <w:t>4.1 药品延伸检查：是指药品监督管理部门对为药品研制、生产、经营、使用提供产品或者服务的单位和个人开展的检查活动。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本管理规程特指药品检查机构对药品上市许可持有人（以下简称MAH）进行药品GMP符合性检查，基于风险发启的延伸检查，且延伸检查系MAH药品GMP符合性检查一部分。如需要进行MAH委托销售、储存和运输药品GSP符合性检查，应当作为药品GMP符合性检查报告一部分。</w:t>
      </w:r>
    </w:p>
    <w:p w:rsidR="00243A69" w:rsidRDefault="00243A69" w:rsidP="00243A69">
      <w:pPr>
        <w:spacing w:line="58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5 职责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5.1 </w:t>
      </w:r>
      <w:r>
        <w:rPr>
          <w:rFonts w:ascii="仿宋" w:eastAsia="仿宋" w:hAnsi="仿宋" w:cs="仿宋_GB2312" w:hint="eastAsia"/>
          <w:sz w:val="32"/>
          <w:szCs w:val="32"/>
        </w:rPr>
        <w:t>如系常规检查开展的延伸检查，按照《药品常规检查管理规程》执行；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5.2 如系有因检查开展的延伸检查，按照《药品有因检查管理规程》执行；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5.3 如系许可检查开展的延伸检查，按照《湖北省药品生产许可监督管理规定》执行；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5.4 如系专项检查开展的延伸检查，按照《专项检查管理规程》执行；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5.5 如系联合检查开展的延伸检查，按照《药品联合检查管理规程》执行。   </w:t>
      </w:r>
    </w:p>
    <w:p w:rsidR="00243A69" w:rsidRDefault="00243A69" w:rsidP="00243A69">
      <w:pPr>
        <w:spacing w:line="58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6 管理要求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6.1</w:t>
      </w:r>
      <w:r>
        <w:rPr>
          <w:rFonts w:ascii="仿宋" w:eastAsia="仿宋" w:hAnsi="仿宋" w:cs="仿宋_GB2312"/>
          <w:sz w:val="32"/>
          <w:szCs w:val="32"/>
        </w:rPr>
        <w:t xml:space="preserve"> </w:t>
      </w:r>
      <w:r>
        <w:rPr>
          <w:rFonts w:ascii="仿宋" w:eastAsia="仿宋" w:hAnsi="仿宋" w:cs="仿宋_GB2312" w:hint="eastAsia"/>
          <w:sz w:val="32"/>
          <w:szCs w:val="32"/>
        </w:rPr>
        <w:t>基本要求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6.1.1 药品延伸检查一般作为MAH药品GMP符合性检查一部分，基于风险发启的延伸检查至少包括以下情形：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（1）MAH委托生产时，同时对受托生产企业、和（或）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委托药品检测实验室发启的延伸检查；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（2）MAH自行生产或委托生产时，对关联的原料药（包括中药提取物）、和（或）辅料、和（或）直接接触药品的包装材料生产场地进行的延伸检查；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（3）MAH因CMC变更基于风险发启的初始或后续药品GMP符合性检查，例如自行生产变更为委托生产（即生产场地发生变更）、关联的原辅包供应商进行的延伸检查。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（4）MAH委托销售、储存和运输或同药品经营建管处发启的药品GSP符合性检查。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（5）其他需要延伸检查的活动，例如：有因检查、专项检查发启的药品GMP符合性检查而开展的延伸检查。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6.2 检查方式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药品延伸检查一般采取现场检查方式，也可以基于风险采取非现场检查或书面审核方式。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6.3 检查方案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药品延伸检查可以预先或基于有因检查需要后续补充制定检查方案；检查时间安排可以连续开展，也可以分段开展。检查组可以是同一检查组，也可以另行安排。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6.4 其他方式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如延伸检查场地跨省级行政区，可采取联合检查方式。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 xml:space="preserve"> 检查重点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如系委托生产，或关联原辅包而开展的延伸检查，应当重点检查MAH质量管理体系、对相关生产企业质量审核和质量协议履行情况、以及CMC变更管理情况。必要时，组织开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展MAH委托销售、储存和运输有关药品GSP符合性检查。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6.6 检查程序</w:t>
      </w:r>
    </w:p>
    <w:p w:rsidR="00243A69" w:rsidRDefault="00243A69" w:rsidP="00243A69">
      <w:pPr>
        <w:pStyle w:val="a5"/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按照《药品现场检查管理规程》执行。</w:t>
      </w:r>
    </w:p>
    <w:p w:rsidR="00243A69" w:rsidRDefault="00243A69" w:rsidP="00243A69">
      <w:pPr>
        <w:pStyle w:val="a5"/>
        <w:spacing w:line="58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7 相关记录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按照《药品GMP符合性检查报告》执行，并将延伸检查情况作为检查报告一部分，但延伸检查报告需要被检查单位单独签字，检查结果原则上反馈至MAH。</w:t>
      </w:r>
    </w:p>
    <w:p w:rsidR="00243A69" w:rsidRDefault="00243A69" w:rsidP="00243A69">
      <w:pPr>
        <w:spacing w:line="580" w:lineRule="exact"/>
        <w:rPr>
          <w:rFonts w:ascii="黑体" w:eastAsia="黑体" w:hAnsi="黑体" w:cs="仿宋_GB2312"/>
          <w:b/>
          <w:bCs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8 附件</w:t>
      </w:r>
      <w:r>
        <w:rPr>
          <w:rFonts w:ascii="黑体" w:eastAsia="黑体" w:hAnsi="黑体" w:cs="仿宋_GB2312" w:hint="eastAsia"/>
          <w:b/>
          <w:bCs/>
          <w:sz w:val="32"/>
          <w:szCs w:val="32"/>
        </w:rPr>
        <w:t xml:space="preserve"> </w:t>
      </w:r>
    </w:p>
    <w:p w:rsidR="00243A69" w:rsidRDefault="00243A69" w:rsidP="00243A6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  <w:lang w:bidi="ar"/>
        </w:rPr>
      </w:pPr>
      <w:r>
        <w:rPr>
          <w:rFonts w:ascii="仿宋" w:eastAsia="仿宋" w:hAnsi="仿宋" w:cs="仿宋_GB2312" w:hint="eastAsia"/>
          <w:sz w:val="32"/>
          <w:szCs w:val="32"/>
          <w:lang w:bidi="ar"/>
        </w:rPr>
        <w:t>无。</w:t>
      </w:r>
    </w:p>
    <w:p w:rsidR="004D632E" w:rsidRDefault="004D632E">
      <w:bookmarkStart w:id="0" w:name="_GoBack"/>
      <w:bookmarkEnd w:id="0"/>
    </w:p>
    <w:sectPr w:rsidR="004D6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18" w:rsidRDefault="006A1518" w:rsidP="00243A69">
      <w:r>
        <w:separator/>
      </w:r>
    </w:p>
  </w:endnote>
  <w:endnote w:type="continuationSeparator" w:id="0">
    <w:p w:rsidR="006A1518" w:rsidRDefault="006A1518" w:rsidP="0024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宋体"/>
    <w:charset w:val="86"/>
    <w:family w:val="auto"/>
    <w:pitch w:val="default"/>
    <w:sig w:usb0="00000000" w:usb1="08000000" w:usb2="00000000" w:usb3="00000000" w:csb0="00040000" w:csb1="00000000"/>
  </w:font>
  <w:font w:name="方正小标宋简体">
    <w:charset w:val="86"/>
    <w:family w:val="auto"/>
    <w:pitch w:val="variable"/>
    <w:sig w:usb0="A00002BF" w:usb1="184F6CFA" w:usb2="00000012" w:usb3="00000000" w:csb0="00040001" w:csb1="00000000"/>
  </w:font>
  <w:font w:name="方正楷体_GBK">
    <w:altName w:val="宋体"/>
    <w:charset w:val="86"/>
    <w:family w:val="auto"/>
    <w:pitch w:val="default"/>
    <w:sig w:usb0="00000000" w:usb1="08000000" w:usb2="0000000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方正仿宋_GBK">
    <w:altName w:val="宋体"/>
    <w:charset w:val="86"/>
    <w:family w:val="script"/>
    <w:pitch w:val="default"/>
    <w:sig w:usb0="00000000" w:usb1="08000000" w:usb2="0000000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18" w:rsidRDefault="006A1518" w:rsidP="00243A69">
      <w:r>
        <w:separator/>
      </w:r>
    </w:p>
  </w:footnote>
  <w:footnote w:type="continuationSeparator" w:id="0">
    <w:p w:rsidR="006A1518" w:rsidRDefault="006A1518" w:rsidP="00243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27"/>
    <w:rsid w:val="00243A69"/>
    <w:rsid w:val="00327A27"/>
    <w:rsid w:val="004D632E"/>
    <w:rsid w:val="006A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A04CA-B205-46AB-A8C2-AEF2FD3E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A69"/>
    <w:pPr>
      <w:widowControl w:val="0"/>
      <w:suppressAutoHyphens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69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3A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43A69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3A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227</Words>
  <Characters>1299</Characters>
  <Application>Microsoft Office Word</Application>
  <DocSecurity>0</DocSecurity>
  <Lines>10</Lines>
  <Paragraphs>3</Paragraphs>
  <ScaleCrop>false</ScaleCrop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2023-12-20T03:38:00Z</dcterms:created>
  <dcterms:modified xsi:type="dcterms:W3CDTF">2023-12-20T03:38:00Z</dcterms:modified>
</cp:coreProperties>
</file>