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1327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49EF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菊</w:t>
      </w:r>
    </w:p>
    <w:p w14:paraId="19268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</w:rPr>
        <w:t>Tianyeju</w:t>
      </w:r>
    </w:p>
    <w:p w14:paraId="108F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</w:rPr>
        <w:t>STEVIAE REBAUDIANAE FOLIUM</w:t>
      </w:r>
      <w:bookmarkStart w:id="0" w:name="_GoBack"/>
      <w:bookmarkEnd w:id="0"/>
    </w:p>
    <w:p w14:paraId="4AB13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</w:p>
    <w:p w14:paraId="67A8A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本品为菊科植物甜叶菊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 xml:space="preserve">Stevia rebaudiana </w:t>
      </w:r>
      <w:r>
        <w:rPr>
          <w:rFonts w:hint="eastAsia" w:cs="Times New Roman"/>
          <w:i w:val="0"/>
          <w:i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</w:rPr>
        <w:t>Bertoni</w:t>
      </w:r>
      <w:r>
        <w:rPr>
          <w:rFonts w:hint="eastAsia" w:cs="Times New Roman"/>
          <w:i w:val="0"/>
          <w:iCs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Hemsl.的干燥叶。夏、秋二季采收，除去茎枝，干燥。</w:t>
      </w:r>
    </w:p>
    <w:p w14:paraId="79DD0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性状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本品为皱缩成团或条状叶片，多破碎。完整叶</w:t>
      </w:r>
      <w:r>
        <w:rPr>
          <w:rFonts w:hint="eastAsia" w:cs="Times New Roman"/>
          <w:sz w:val="24"/>
          <w:szCs w:val="24"/>
          <w:lang w:eastAsia="zh-CN"/>
        </w:rPr>
        <w:t>片</w:t>
      </w:r>
      <w:r>
        <w:rPr>
          <w:rFonts w:hint="default" w:ascii="Times New Roman" w:hAnsi="Times New Roman" w:eastAsia="宋体" w:cs="Times New Roman"/>
          <w:sz w:val="24"/>
          <w:szCs w:val="24"/>
        </w:rPr>
        <w:t>展平后呈倒卵形至宽披针形，长3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eastAsia="宋体" w:cs="Times New Roman"/>
          <w:sz w:val="24"/>
          <w:szCs w:val="24"/>
        </w:rPr>
        <w:t>9.5cm，宽1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eastAsia="宋体" w:cs="Times New Roman"/>
          <w:sz w:val="24"/>
          <w:szCs w:val="24"/>
        </w:rPr>
        <w:t>3cm；先端钝，基部楔形；中上部边缘有粗锯齿，下部全缘；三出脉，中央主脉明显</w:t>
      </w:r>
      <w:r>
        <w:rPr>
          <w:rFonts w:hint="eastAsia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t>两面均有柔毛，上表面深绿色，下表面浅绿色；具短叶柄，叶片常下延至叶柄基部；质脆易碎。气微，味极甜。</w:t>
      </w:r>
    </w:p>
    <w:p w14:paraId="70E5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鉴别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（1）本品粉末暗绿色或黄绿色。表皮细胞较大，形状不规则</w:t>
      </w:r>
      <w:r>
        <w:rPr>
          <w:rFonts w:hint="eastAsia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气孔多为不定式。单列式的多细胞非腺毛由5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eastAsia="宋体" w:cs="Times New Roman"/>
          <w:sz w:val="24"/>
          <w:szCs w:val="24"/>
        </w:rPr>
        <w:t>12个细胞组成，长35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eastAsia="宋体" w:cs="Times New Roman"/>
          <w:sz w:val="24"/>
          <w:szCs w:val="24"/>
        </w:rPr>
        <w:t>100μm，稍弯曲。腺鳞常见。导管多为网纹导管，直径15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eastAsia="宋体" w:cs="Times New Roman"/>
          <w:sz w:val="24"/>
          <w:szCs w:val="24"/>
        </w:rPr>
        <w:t>45μm。</w:t>
      </w:r>
    </w:p>
    <w:p w14:paraId="0BA7F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eastAsia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取本品粉末0.5g，加甲醇10ml，超声处理30分钟，滤过，滤液作为供试品溶液。另取甜叶菊对照药材0.5g，同法制成对照药材溶液。再取甜菊苷对照品，加甲醇制成每1ml含2mg的溶液，作为对照品溶液。照薄层色谱法（《中国药典》2025年版四部通则0502）试验，吸取供试品溶液和对照药材溶液各5µl、对照品溶液10µl，分别点于同一硅胶G薄层板上，以三氯甲烷-甲醇-水（7.5∶4∶0.5）为展开剂，展开，取出，晾干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喷以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0%硫酸乙醇溶液，在1</w:t>
      </w:r>
      <w:r>
        <w:rPr>
          <w:rFonts w:hint="eastAsia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</w:rPr>
        <w:t>℃加热至斑点显色清晰。供试品色谱中，在与对照药材色谱和对照品色谱相应的位置上，显相同颜色的斑点。</w:t>
      </w:r>
    </w:p>
    <w:p w14:paraId="689CE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检查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水分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不得过12.0%（《中国药典》2025年版四部通则0832第二法）。</w:t>
      </w:r>
    </w:p>
    <w:p w14:paraId="2699C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总灰分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4"/>
        </w:rPr>
        <w:t>不得过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9.</w:t>
      </w:r>
      <w:r>
        <w:rPr>
          <w:rFonts w:hint="default" w:ascii="Times New Roman" w:hAnsi="Times New Roman" w:eastAsia="宋体" w:cs="Times New Roman"/>
          <w:kern w:val="0"/>
          <w:sz w:val="24"/>
          <w:highlight w:val="none"/>
        </w:rPr>
        <w:t>0%</w:t>
      </w:r>
      <w:r>
        <w:rPr>
          <w:rFonts w:hint="default" w:ascii="Times New Roman" w:hAnsi="Times New Roman" w:eastAsia="宋体" w:cs="Times New Roman"/>
          <w:sz w:val="24"/>
          <w:szCs w:val="24"/>
        </w:rPr>
        <w:t>（《</w:t>
      </w:r>
      <w:r>
        <w:rPr>
          <w:rFonts w:hint="default" w:ascii="Times New Roman" w:hAnsi="Times New Roman" w:cs="Times New Roman"/>
          <w:sz w:val="24"/>
          <w:lang w:val="en-US" w:eastAsia="zh-CN"/>
        </w:rPr>
        <w:t>中国药典</w:t>
      </w:r>
      <w:r>
        <w:rPr>
          <w:rFonts w:hint="default" w:ascii="Times New Roman" w:hAnsi="Times New Roman" w:cs="Times New Roman"/>
          <w:sz w:val="24"/>
          <w:u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u w:val="none"/>
          <w:lang w:val="en-US" w:eastAsia="zh-CN"/>
        </w:rPr>
        <w:t>2025年版</w:t>
      </w:r>
      <w:r>
        <w:rPr>
          <w:rFonts w:hint="eastAsia" w:ascii="Times New Roman" w:hAnsi="Times New Roman" w:cs="Times New Roman"/>
          <w:color w:val="auto"/>
          <w:sz w:val="24"/>
          <w:u w:val="none"/>
          <w:lang w:val="en-US" w:eastAsia="zh-CN"/>
        </w:rPr>
        <w:t>四部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通则</w:t>
      </w:r>
      <w:r>
        <w:rPr>
          <w:rFonts w:hint="default" w:ascii="Times New Roman" w:hAnsi="Times New Roman" w:eastAsia="宋体" w:cs="Times New Roman"/>
          <w:kern w:val="0"/>
          <w:sz w:val="24"/>
        </w:rPr>
        <w:t>2302）。</w:t>
      </w:r>
    </w:p>
    <w:p w14:paraId="3C1EC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酸不溶性灰分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不得过3.0%（《中国药典》2025年版四部通则2302）。</w:t>
      </w:r>
    </w:p>
    <w:p w14:paraId="5F035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浸出物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 照醇溶性浸出物测定法（《中国药典》2025年版四部通则2201）项下的热浸法测定，用稀乙醇作溶剂，不得少于40.0%。 </w:t>
      </w:r>
    </w:p>
    <w:p w14:paraId="789F1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含量测定</w:t>
      </w:r>
      <w:r>
        <w:rPr>
          <w:rFonts w:hint="default" w:ascii="Times New Roman" w:hAnsi="Times New Roman" w:eastAsia="宋体" w:cs="Times New Roman"/>
          <w:sz w:val="24"/>
          <w:szCs w:val="24"/>
        </w:rPr>
        <w:t>】  照高效液相色谱法（《中国药典》2025年版四部通则0512）测定。</w:t>
      </w:r>
    </w:p>
    <w:p w14:paraId="1B4A0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色谱条件与系统适用性试验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以十八烷基硅烷键合硅胶为填充剂；以乙腈-0.1%磷酸溶液（32∶68）为流动相；检测波长为210nm。理论板数按甜菊苷峰计算应不低于5000。</w:t>
      </w:r>
    </w:p>
    <w:p w14:paraId="0393C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对照品溶液的制备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取瑞鲍迪苷A对照品、甜菊苷对照品适量，精密称定，加30%乙醇制成每1ml含瑞鲍迪苷A 0.5mg、甜菊苷0.1mg的混合溶液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即得。</w:t>
      </w:r>
    </w:p>
    <w:p w14:paraId="671F5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供试品溶液的制备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取本品粉末（过三号筛）约0.25g，精密称定，置具塞锥形瓶中，精密加入30%乙醇50ml，密塞，称定重量，超声处理（功率250W，频率40kHz）60分钟，放冷，再称定重量，用30%乙醇补足减失的重量，摇匀，滤过，取续滤液，即得。</w:t>
      </w:r>
    </w:p>
    <w:p w14:paraId="6360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测定法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分别精密吸取对照品溶液与供试品溶液各5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default" w:ascii="Times New Roman" w:hAnsi="Times New Roman" w:eastAsia="宋体" w:cs="Times New Roman"/>
          <w:sz w:val="24"/>
          <w:szCs w:val="24"/>
        </w:rPr>
        <w:t>10μl，注入液相色谱仪，测定，即得。</w:t>
      </w:r>
    </w:p>
    <w:p w14:paraId="3FC3C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本品按干燥品计算，含瑞鲍迪苷A（C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44</w:t>
      </w:r>
      <w:r>
        <w:rPr>
          <w:rFonts w:hint="default" w:ascii="Times New Roman" w:hAnsi="Times New Roman" w:eastAsia="宋体" w:cs="Times New Roman"/>
          <w:sz w:val="24"/>
          <w:szCs w:val="24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70</w:t>
      </w:r>
      <w:r>
        <w:rPr>
          <w:rFonts w:hint="default" w:ascii="Times New Roman" w:hAnsi="Times New Roman" w:eastAsia="宋体" w:cs="Times New Roman"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）和甜菊苷（C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38</w:t>
      </w:r>
      <w:r>
        <w:rPr>
          <w:rFonts w:hint="default" w:ascii="Times New Roman" w:hAnsi="Times New Roman" w:eastAsia="宋体" w:cs="Times New Roman"/>
          <w:sz w:val="24"/>
          <w:szCs w:val="24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60</w:t>
      </w:r>
      <w:r>
        <w:rPr>
          <w:rFonts w:hint="default" w:ascii="Times New Roman" w:hAnsi="Times New Roman" w:eastAsia="宋体" w:cs="Times New Roman"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</w:rPr>
        <w:t>）的总量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不得少于10.0%。</w:t>
      </w:r>
    </w:p>
    <w:p w14:paraId="0E16E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饮片</w:t>
      </w:r>
    </w:p>
    <w:p w14:paraId="44830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>炮制</w:t>
      </w:r>
      <w:r>
        <w:rPr>
          <w:rFonts w:hint="default" w:ascii="Times New Roman" w:hAnsi="Times New Roman" w:eastAsia="宋体" w:cs="Times New Roman"/>
          <w:sz w:val="24"/>
          <w:szCs w:val="24"/>
        </w:rPr>
        <w:t>】  除去杂质，干燥。</w:t>
      </w:r>
    </w:p>
    <w:p w14:paraId="55F1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>性状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>鉴别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>检查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浸出物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>含量测定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同药材。</w:t>
      </w:r>
    </w:p>
    <w:p w14:paraId="4ECEF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性味与归经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甘，平。归肺、胃</w:t>
      </w:r>
      <w:r>
        <w:rPr>
          <w:rFonts w:hint="eastAsia" w:cs="Times New Roman"/>
          <w:sz w:val="24"/>
          <w:szCs w:val="24"/>
          <w:lang w:eastAsia="zh-CN"/>
        </w:rPr>
        <w:t>、肝</w:t>
      </w:r>
      <w:r>
        <w:rPr>
          <w:rFonts w:hint="default" w:ascii="Times New Roman" w:hAnsi="Times New Roman" w:eastAsia="宋体" w:cs="Times New Roman"/>
          <w:sz w:val="24"/>
          <w:szCs w:val="24"/>
        </w:rPr>
        <w:t>经。</w:t>
      </w:r>
    </w:p>
    <w:p w14:paraId="3D8B9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功能与主治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】 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清热，滋阴，止渴。用于消渴，肝阳上亢引起的头晕等症。</w:t>
      </w:r>
    </w:p>
    <w:p w14:paraId="4B9F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用法与用量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3～10g</w:t>
      </w:r>
      <w:r>
        <w:rPr>
          <w:rFonts w:hint="eastAsia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t>或泡茶饮。</w:t>
      </w:r>
    </w:p>
    <w:p w14:paraId="36673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贮藏</w:t>
      </w:r>
      <w:r>
        <w:rPr>
          <w:rFonts w:hint="default" w:ascii="Times New Roman" w:hAnsi="Times New Roman" w:eastAsia="宋体" w:cs="Times New Roman"/>
          <w:sz w:val="24"/>
          <w:szCs w:val="24"/>
        </w:rPr>
        <w:t>】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置通风干燥处，防霉，防蛀。</w:t>
      </w: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AB521">
    <w:pPr>
      <w:pStyle w:val="6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AAA81">
    <w:pPr>
      <w:pBdr>
        <w:bottom w:val="none" w:color="auto" w:sz="0" w:space="0"/>
      </w:pBdr>
      <w:jc w:val="center"/>
      <w:rPr>
        <w:rFonts w:hint="eastAsia" w:ascii="黑体" w:hAnsi="黑体" w:eastAsia="黑体" w:cs="黑体"/>
        <w:color w:val="000000" w:themeColor="text1"/>
        <w:sz w:val="52"/>
        <w:szCs w:val="5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黑体" w:hAnsi="黑体" w:eastAsia="黑体" w:cs="黑体"/>
        <w:color w:val="000000" w:themeColor="text1"/>
        <w:sz w:val="52"/>
        <w:szCs w:val="52"/>
        <w:lang w:val="en-US" w:eastAsia="zh-CN"/>
        <w14:textFill>
          <w14:solidFill>
            <w14:schemeClr w14:val="tx1"/>
          </w14:solidFill>
        </w14:textFill>
      </w:rPr>
      <w:t>湖北省中药材质量标准</w:t>
    </w:r>
  </w:p>
  <w:p w14:paraId="5DE7E13B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300" w:lineRule="exact"/>
      <w:jc w:val="center"/>
      <w:textAlignment w:val="auto"/>
      <w:rPr>
        <w:rFonts w:hint="eastAsia" w:ascii="黑体" w:hAnsi="黑体" w:eastAsia="黑体" w:cs="黑体"/>
        <w:color w:val="000000" w:themeColor="text1"/>
        <w:sz w:val="52"/>
        <w:szCs w:val="52"/>
        <w:lang w:val="en-US" w:eastAsia="zh-CN"/>
        <w14:textFill>
          <w14:solidFill>
            <w14:schemeClr w14:val="tx1"/>
          </w14:solidFill>
        </w14:textFill>
      </w:rPr>
    </w:pPr>
  </w:p>
  <w:p w14:paraId="69706837">
    <w:pPr>
      <w:pBdr>
        <w:bottom w:val="single" w:color="auto" w:sz="4" w:space="0"/>
      </w:pBdr>
      <w:jc w:val="right"/>
      <w:rPr>
        <w:rFonts w:hint="default" w:ascii="Times New Roman" w:hAnsi="Times New Roman" w:cs="Times New Roman"/>
        <w:sz w:val="36"/>
        <w:szCs w:val="36"/>
        <w:lang w:val="en-US" w:eastAsia="zh-CN"/>
      </w:rPr>
    </w:pPr>
    <w:r>
      <w:rPr>
        <w:rFonts w:hint="eastAsia" w:ascii="宋体" w:hAnsi="宋体" w:eastAsia="宋体" w:cs="宋体"/>
        <w:b w:val="0"/>
        <w:bCs w:val="0"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w:t>鄂</w:t>
    </w:r>
    <w:r>
      <w:rPr>
        <w:rFonts w:hint="eastAsia" w:ascii="Times New Roman" w:hAnsi="Times New Roman" w:cs="Times New Roman"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w:t>YC-20250001</w:t>
    </w:r>
  </w:p>
  <w:p w14:paraId="411B16F0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ZGEyMWZkNzY5NzMwOWM2MmNkZjM4OTQwZTFlNmQifQ=="/>
  </w:docVars>
  <w:rsids>
    <w:rsidRoot w:val="00E73F8F"/>
    <w:rsid w:val="00046E2F"/>
    <w:rsid w:val="000610BF"/>
    <w:rsid w:val="000D3702"/>
    <w:rsid w:val="000F68DC"/>
    <w:rsid w:val="00193DBF"/>
    <w:rsid w:val="001F2C86"/>
    <w:rsid w:val="0020215F"/>
    <w:rsid w:val="00260344"/>
    <w:rsid w:val="002A71BA"/>
    <w:rsid w:val="002D47AD"/>
    <w:rsid w:val="003413CE"/>
    <w:rsid w:val="00354C0D"/>
    <w:rsid w:val="003B58E0"/>
    <w:rsid w:val="003B5CDD"/>
    <w:rsid w:val="003F0743"/>
    <w:rsid w:val="00450AE3"/>
    <w:rsid w:val="00474428"/>
    <w:rsid w:val="0051555A"/>
    <w:rsid w:val="00526CB1"/>
    <w:rsid w:val="00537159"/>
    <w:rsid w:val="00576C96"/>
    <w:rsid w:val="005B3B53"/>
    <w:rsid w:val="00613B41"/>
    <w:rsid w:val="00623FD2"/>
    <w:rsid w:val="00624716"/>
    <w:rsid w:val="006949A5"/>
    <w:rsid w:val="006C67AE"/>
    <w:rsid w:val="007354A4"/>
    <w:rsid w:val="007909BF"/>
    <w:rsid w:val="007A6BA8"/>
    <w:rsid w:val="00812CB7"/>
    <w:rsid w:val="00824025"/>
    <w:rsid w:val="00983636"/>
    <w:rsid w:val="009D6D9E"/>
    <w:rsid w:val="00A07E3E"/>
    <w:rsid w:val="00A1460E"/>
    <w:rsid w:val="00A40E6B"/>
    <w:rsid w:val="00A857F1"/>
    <w:rsid w:val="00A86999"/>
    <w:rsid w:val="00AA0520"/>
    <w:rsid w:val="00AC4A61"/>
    <w:rsid w:val="00B67E5D"/>
    <w:rsid w:val="00B75BDC"/>
    <w:rsid w:val="00BB61FE"/>
    <w:rsid w:val="00C130AD"/>
    <w:rsid w:val="00C24716"/>
    <w:rsid w:val="00CB650C"/>
    <w:rsid w:val="00CC145F"/>
    <w:rsid w:val="00D519C2"/>
    <w:rsid w:val="00D93379"/>
    <w:rsid w:val="00D93832"/>
    <w:rsid w:val="00DB0561"/>
    <w:rsid w:val="00DE5222"/>
    <w:rsid w:val="00DE6EB9"/>
    <w:rsid w:val="00E439BA"/>
    <w:rsid w:val="00E70FD9"/>
    <w:rsid w:val="00E73F8F"/>
    <w:rsid w:val="00E8479F"/>
    <w:rsid w:val="00F03304"/>
    <w:rsid w:val="00F111F6"/>
    <w:rsid w:val="00F12D01"/>
    <w:rsid w:val="00F134D5"/>
    <w:rsid w:val="00F142C7"/>
    <w:rsid w:val="00F70373"/>
    <w:rsid w:val="00F728C4"/>
    <w:rsid w:val="00FA6295"/>
    <w:rsid w:val="01321ECC"/>
    <w:rsid w:val="03952B20"/>
    <w:rsid w:val="0954303A"/>
    <w:rsid w:val="097E79C7"/>
    <w:rsid w:val="0B2402A5"/>
    <w:rsid w:val="0B524AA2"/>
    <w:rsid w:val="0C604F8D"/>
    <w:rsid w:val="0D344D8D"/>
    <w:rsid w:val="0E433265"/>
    <w:rsid w:val="116B03CF"/>
    <w:rsid w:val="12985C51"/>
    <w:rsid w:val="12C9427B"/>
    <w:rsid w:val="1CE41547"/>
    <w:rsid w:val="226342FE"/>
    <w:rsid w:val="2BE832F8"/>
    <w:rsid w:val="322E1B9E"/>
    <w:rsid w:val="3861019B"/>
    <w:rsid w:val="3A2B6DA9"/>
    <w:rsid w:val="4DB37359"/>
    <w:rsid w:val="4E293ADD"/>
    <w:rsid w:val="54171E16"/>
    <w:rsid w:val="5DC4060A"/>
    <w:rsid w:val="5DE850D2"/>
    <w:rsid w:val="6C4F0C8D"/>
    <w:rsid w:val="6C543C4F"/>
    <w:rsid w:val="703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Times New Roman" w:hAnsi="Times New Roman" w:eastAsiaTheme="majorEastAsia" w:cstheme="majorBidi"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16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标题 2 Char"/>
    <w:basedOn w:val="10"/>
    <w:link w:val="3"/>
    <w:qFormat/>
    <w:uiPriority w:val="9"/>
    <w:rPr>
      <w:rFonts w:ascii="Times New Roman" w:hAnsi="Times New Roman" w:eastAsiaTheme="majorEastAsia" w:cstheme="majorBidi"/>
      <w:bCs/>
      <w:sz w:val="24"/>
      <w:szCs w:val="32"/>
    </w:rPr>
  </w:style>
  <w:style w:type="table" w:customStyle="1" w:styleId="18">
    <w:name w:val="三线表"/>
    <w:basedOn w:val="8"/>
    <w:qFormat/>
    <w:uiPriority w:val="99"/>
    <w:rPr>
      <w:rFonts w:ascii="Calibri" w:hAnsi="Calibri" w:eastAsia="宋体" w:cs="Times New Roman"/>
      <w:sz w:val="21"/>
    </w:rPr>
    <w:tblPr>
      <w:jc w:val="center"/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cPr>
        <w:tcBorders>
          <w:top w:val="single" w:color="auto" w:sz="12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51C0-6B13-42FF-A39E-63F2E94876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1059</Words>
  <Characters>1266</Characters>
  <Lines>14</Lines>
  <Paragraphs>4</Paragraphs>
  <TotalTime>2</TotalTime>
  <ScaleCrop>false</ScaleCrop>
  <LinksUpToDate>false</LinksUpToDate>
  <CharactersWithSpaces>1308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2021-09-01T09:56:00Z</dcterms:created>
  <dc:creator>zyj</dc:creator>
  <cp:lastModifiedBy>侯俊杰</cp:lastModifiedBy>
  <dcterms:modified xsi:type="dcterms:W3CDTF">2025-09-15T02:42:45Z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7AD516198A394A8F9B3DB6E1A7FB70FA_13</vt:lpwstr>
  </property>
  <property fmtid="{D5CDD505-2E9C-101B-9397-08002B2CF9AE}" pid="4" name="KSOTemplateDocerSaveRecord">
    <vt:lpwstr>eyJoZGlkIjoiZDM2ZGEyMWZkNzY5NzMwOWM2MmNkZjM4OTQwZTFlNmQiLCJ1c2VySWQiOiI4NzU3NjA2MDgifQ==</vt:lpwstr>
  </property>
</Properties>
</file>