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B54C">
      <w:pPr>
        <w:spacing w:line="600" w:lineRule="exact"/>
        <w:jc w:val="both"/>
        <w:rPr>
          <w:rFonts w:hint="eastAsia" w:ascii="方正小标宋简体" w:eastAsia="方正小标宋简体"/>
          <w:b/>
          <w:bCs/>
          <w:sz w:val="44"/>
          <w:szCs w:val="44"/>
        </w:rPr>
      </w:pPr>
    </w:p>
    <w:p w14:paraId="561D27C4">
      <w:pPr>
        <w:spacing w:line="600" w:lineRule="exact"/>
        <w:jc w:val="both"/>
        <w:rPr>
          <w:rFonts w:hint="eastAsia" w:ascii="方正小标宋简体" w:eastAsia="方正小标宋简体"/>
          <w:b/>
          <w:bCs/>
          <w:sz w:val="44"/>
          <w:szCs w:val="44"/>
        </w:rPr>
      </w:pPr>
    </w:p>
    <w:p w14:paraId="7C1E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z w:val="52"/>
          <w:szCs w:val="52"/>
        </w:rPr>
        <w:t>湖北省医药</w:t>
      </w:r>
      <w:r>
        <w:rPr>
          <w:rFonts w:hint="eastAsia" w:ascii="方正小标宋简体"/>
          <w:b/>
          <w:bCs/>
          <w:sz w:val="52"/>
          <w:szCs w:val="52"/>
          <w:lang w:eastAsia="zh-CN"/>
        </w:rPr>
        <w:t>、医疗器械、生物制药</w:t>
      </w:r>
      <w:r>
        <w:rPr>
          <w:rFonts w:ascii="方正小标宋简体" w:eastAsia="方正小标宋简体"/>
          <w:b/>
          <w:bCs/>
          <w:sz w:val="52"/>
          <w:szCs w:val="52"/>
        </w:rPr>
        <w:t>专业</w:t>
      </w:r>
      <w:r>
        <w:rPr>
          <w:rFonts w:hint="eastAsia" w:ascii="方正小标宋简体" w:eastAsia="方正小标宋简体"/>
          <w:b/>
          <w:bCs/>
          <w:sz w:val="52"/>
          <w:szCs w:val="52"/>
        </w:rPr>
        <w:t>技术职务水平能力测试大纲</w:t>
      </w:r>
    </w:p>
    <w:p w14:paraId="7A6E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b w:val="0"/>
          <w:bCs w:val="0"/>
          <w:sz w:val="48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48"/>
          <w:szCs w:val="48"/>
        </w:rPr>
        <w:t>（</w:t>
      </w:r>
      <w:r>
        <w:rPr>
          <w:rFonts w:hint="eastAsia" w:ascii="方正小标宋简体" w:eastAsia="方正小标宋简体"/>
          <w:b w:val="0"/>
          <w:bCs w:val="0"/>
          <w:sz w:val="48"/>
          <w:szCs w:val="48"/>
          <w:lang w:eastAsia="zh-CN"/>
        </w:rPr>
        <w:t>试行</w:t>
      </w:r>
      <w:r>
        <w:rPr>
          <w:rFonts w:hint="eastAsia" w:ascii="方正小标宋简体" w:eastAsia="方正小标宋简体"/>
          <w:b w:val="0"/>
          <w:bCs w:val="0"/>
          <w:sz w:val="48"/>
          <w:szCs w:val="48"/>
        </w:rPr>
        <w:t>）</w:t>
      </w:r>
    </w:p>
    <w:p w14:paraId="0613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0CC7212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E40E285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4AE15E3">
      <w:pPr>
        <w:jc w:val="both"/>
        <w:rPr>
          <w:rFonts w:hint="eastAsia"/>
        </w:rPr>
      </w:pPr>
    </w:p>
    <w:p w14:paraId="41E4ADA2">
      <w:pPr>
        <w:jc w:val="center"/>
        <w:rPr>
          <w:rFonts w:hint="eastAsia"/>
        </w:rPr>
      </w:pPr>
    </w:p>
    <w:p w14:paraId="7CE5F3FE">
      <w:pPr>
        <w:jc w:val="center"/>
        <w:rPr>
          <w:rFonts w:hint="eastAsia"/>
        </w:rPr>
      </w:pPr>
    </w:p>
    <w:p w14:paraId="32E4D64F">
      <w:pPr>
        <w:jc w:val="center"/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</w:pPr>
    </w:p>
    <w:p w14:paraId="0FFE5464">
      <w:pPr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湖北省医药工程技术高级职称评审委员会办公室</w:t>
      </w:r>
    </w:p>
    <w:p w14:paraId="2AF842F1">
      <w:pPr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2026年6月</w:t>
      </w:r>
    </w:p>
    <w:p w14:paraId="112CDD63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0135DD8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目  录</w:t>
      </w:r>
    </w:p>
    <w:p w14:paraId="43612B54">
      <w:pPr>
        <w:spacing w:before="0" w:after="0" w:line="240" w:lineRule="auto"/>
        <w:ind w:left="0" w:leftChars="0" w:right="0" w:rightChars="0" w:firstLine="0" w:firstLineChars="0"/>
        <w:jc w:val="center"/>
      </w:pPr>
    </w:p>
    <w:p w14:paraId="6FEF9C47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TOC \o "1-1" \h \u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_Toc9143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 w:val="0"/>
          <w:sz w:val="32"/>
          <w:szCs w:val="32"/>
        </w:rPr>
        <w:t>编制说明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_Toc9143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406593DD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_Toc20153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二、测试大纲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_Toc20153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7B5CB13F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_Toc519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医药专业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综合类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</w:rPr>
        <w:t>（中级）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_Toc519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32C8AA4A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_Toc16977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（二）医药专业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综合类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高级、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_Toc16977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79C89DEA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_Toc19783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（三）医药专业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检验检测类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（中级）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_Toc19783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2717F255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_Toc31128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（四）医药专业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检验检测类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（正高级、副高级）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_Toc31128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1AF59E55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_Toc15100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（五）医疗器械专业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综合类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（中级）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_Toc15100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6B907298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_Toc23032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（六）医疗器械专业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综合类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高级、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_Toc23032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176A4B3F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_Toc28922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（七）医疗器械专业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检验检测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_Toc28922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6622345E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_Toc14275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（八）医疗器械专业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检验检测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高级、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_Toc14275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73151B61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_Toc18670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（九）生物制药专业（中级）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_Toc18670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7407C53B">
      <w:pPr>
        <w:pStyle w:val="14"/>
        <w:keepNext w:val="0"/>
        <w:keepLines w:val="0"/>
        <w:pageBreakBefore w:val="0"/>
        <w:widowControl w:val="0"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_Toc2568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（十）生物制药专业（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高级、</w:t>
      </w: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高级）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_Toc2568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522D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 w14:paraId="049B9C79">
      <w:pPr>
        <w:rPr>
          <w:rFonts w:hint="eastAsia" w:ascii="方正仿宋_GBK" w:hAnsi="方正仿宋_GBK" w:eastAsia="方正仿宋_GBK" w:cs="方正仿宋_GBK"/>
          <w:kern w:val="2"/>
          <w:sz w:val="24"/>
          <w:szCs w:val="28"/>
          <w:lang w:val="en-US" w:eastAsia="zh-CN" w:bidi="ar-SA"/>
          <w14:ligatures w14:val="standardContextual"/>
        </w:rPr>
      </w:pPr>
    </w:p>
    <w:p w14:paraId="6F2ABD60">
      <w:pPr>
        <w:rPr>
          <w:rFonts w:hint="eastAsia" w:ascii="宋体" w:hAnsi="宋体" w:eastAsia="宋体"/>
          <w:sz w:val="24"/>
        </w:rPr>
      </w:pPr>
    </w:p>
    <w:p w14:paraId="63C0070F">
      <w:pPr>
        <w:spacing w:line="360" w:lineRule="auto"/>
        <w:ind w:firstLine="602" w:firstLineChars="200"/>
        <w:outlineLvl w:val="0"/>
        <w:rPr>
          <w:rFonts w:hint="eastAsia" w:ascii="宋体" w:hAnsi="宋体" w:eastAsia="宋体"/>
          <w:b/>
          <w:bCs/>
          <w:sz w:val="30"/>
          <w:szCs w:val="30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959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914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编制说明</w:t>
      </w:r>
      <w:bookmarkEnd w:id="0"/>
    </w:p>
    <w:p w14:paraId="21C2C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水平能力测试是湖北省医药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、医疗器械、生物制药</w:t>
      </w:r>
      <w:r>
        <w:rPr>
          <w:rFonts w:hint="eastAsia" w:ascii="仿宋" w:hAnsi="仿宋" w:eastAsia="仿宋"/>
          <w:sz w:val="32"/>
          <w:szCs w:val="32"/>
        </w:rPr>
        <w:t>专业技术职务任职资格评审的重要环节，是考察医药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、医疗器械、生物制药</w:t>
      </w:r>
      <w:r>
        <w:rPr>
          <w:rFonts w:hint="eastAsia" w:ascii="仿宋" w:hAnsi="仿宋" w:eastAsia="仿宋"/>
          <w:sz w:val="32"/>
          <w:szCs w:val="32"/>
        </w:rPr>
        <w:t>专业技术人员对本专业理论知识的系统掌握程度和对药品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、医疗器械、化妆品</w:t>
      </w:r>
      <w:r>
        <w:rPr>
          <w:rFonts w:hint="eastAsia" w:ascii="仿宋" w:hAnsi="仿宋" w:eastAsia="仿宋"/>
          <w:sz w:val="32"/>
          <w:szCs w:val="32"/>
        </w:rPr>
        <w:t>研发、生产制造、质量控制、检验检测、流通监管等工作中关键技术问题解决能力的重要手段，是充分发挥人才评价指挥棒作用、助力医药产业高质量发展不可或缺的举措。</w:t>
      </w:r>
    </w:p>
    <w:p w14:paraId="48B81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根据省委办公厅、省政府办公厅《关于深化职称制度改革的实施意见》（鄂办发〔2017〕60 号）文件精神，结合</w:t>
      </w:r>
      <w:r>
        <w:rPr>
          <w:rFonts w:hint="eastAsia" w:ascii="仿宋" w:hAnsi="仿宋" w:eastAsia="仿宋"/>
          <w:sz w:val="32"/>
          <w:szCs w:val="32"/>
          <w:lang w:eastAsia="zh-CN"/>
        </w:rPr>
        <w:t>近年来</w:t>
      </w:r>
      <w:r>
        <w:rPr>
          <w:rFonts w:hint="eastAsia" w:ascii="仿宋" w:hAnsi="仿宋" w:eastAsia="仿宋"/>
          <w:sz w:val="32"/>
          <w:szCs w:val="32"/>
        </w:rPr>
        <w:t>水平能力测试的实际情况，</w:t>
      </w:r>
      <w:r>
        <w:rPr>
          <w:rFonts w:hint="eastAsia" w:ascii="仿宋" w:hAnsi="仿宋" w:eastAsia="仿宋"/>
          <w:sz w:val="32"/>
          <w:szCs w:val="32"/>
          <w:lang w:eastAsia="zh-CN"/>
        </w:rPr>
        <w:t>省医药工程技术高级职称评审委员会办公室</w:t>
      </w:r>
      <w:r>
        <w:rPr>
          <w:rFonts w:hint="eastAsia" w:ascii="仿宋" w:hAnsi="仿宋" w:eastAsia="仿宋"/>
          <w:sz w:val="32"/>
          <w:szCs w:val="32"/>
        </w:rPr>
        <w:t>组织业内专家，从理论和实践两个方面，对水平能力测试的新特点</w:t>
      </w:r>
      <w:r>
        <w:rPr>
          <w:rFonts w:hint="default" w:ascii="仿宋" w:hAnsi="仿宋" w:eastAsia="仿宋"/>
          <w:sz w:val="32"/>
          <w:szCs w:val="32"/>
        </w:rPr>
        <w:t>、</w:t>
      </w:r>
      <w:bookmarkStart w:id="35" w:name="_GoBack"/>
      <w:bookmarkEnd w:id="35"/>
      <w:r>
        <w:rPr>
          <w:rFonts w:hint="eastAsia" w:ascii="仿宋" w:hAnsi="仿宋" w:eastAsia="仿宋"/>
          <w:sz w:val="32"/>
          <w:szCs w:val="32"/>
        </w:rPr>
        <w:t>新要求</w:t>
      </w:r>
      <w:r>
        <w:rPr>
          <w:rFonts w:hint="eastAsia" w:ascii="仿宋" w:hAnsi="仿宋" w:eastAsia="仿宋"/>
          <w:sz w:val="32"/>
          <w:szCs w:val="32"/>
          <w:lang w:eastAsia="zh-CN"/>
        </w:rPr>
        <w:t>做</w:t>
      </w:r>
      <w:r>
        <w:rPr>
          <w:rFonts w:hint="eastAsia" w:ascii="仿宋" w:hAnsi="仿宋" w:eastAsia="仿宋"/>
          <w:sz w:val="32"/>
          <w:szCs w:val="32"/>
        </w:rPr>
        <w:t>了全面分析，特制定本大纲。</w:t>
      </w:r>
    </w:p>
    <w:p w14:paraId="0A1B8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本大纲适用于在我省各类企事业单位专业技术岗位上从事医药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、医疗器械、生物制药</w:t>
      </w:r>
      <w:r>
        <w:rPr>
          <w:rFonts w:hint="eastAsia" w:ascii="仿宋" w:hAnsi="仿宋" w:eastAsia="仿宋"/>
          <w:sz w:val="32"/>
          <w:szCs w:val="32"/>
        </w:rPr>
        <w:t>专业技术工作的专业技术人员（不含已取得自主评审权范围内的专业技术人员）。</w:t>
      </w:r>
      <w:r>
        <w:rPr>
          <w:rFonts w:hint="eastAsia" w:ascii="仿宋" w:hAnsi="仿宋" w:eastAsia="仿宋"/>
          <w:sz w:val="32"/>
          <w:szCs w:val="32"/>
          <w:lang w:eastAsia="zh-CN"/>
        </w:rPr>
        <w:t>医药、医疗器械专业</w:t>
      </w:r>
      <w:r>
        <w:rPr>
          <w:rFonts w:hint="eastAsia" w:ascii="仿宋" w:hAnsi="仿宋" w:eastAsia="仿宋"/>
          <w:sz w:val="32"/>
          <w:szCs w:val="32"/>
        </w:rPr>
        <w:t>水平能力测试分综合类、检验检测类两个专业方向。申报医药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lang w:eastAsia="zh-CN"/>
        </w:rPr>
        <w:t>中级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正</w:t>
      </w:r>
      <w:r>
        <w:rPr>
          <w:rFonts w:hint="eastAsia" w:ascii="仿宋" w:hAnsi="仿宋" w:eastAsia="仿宋"/>
          <w:sz w:val="32"/>
          <w:szCs w:val="32"/>
        </w:rPr>
        <w:t>高级工程师和</w:t>
      </w:r>
      <w:r>
        <w:rPr>
          <w:rFonts w:hint="eastAsia" w:ascii="仿宋" w:hAnsi="仿宋" w:eastAsia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/>
          <w:sz w:val="32"/>
          <w:szCs w:val="32"/>
        </w:rPr>
        <w:t>高级工程师的专业技术人员可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选择对应专业方向参加相应级别的水平能力测试。</w:t>
      </w:r>
    </w:p>
    <w:p w14:paraId="0CCAA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（一）测试方式</w:t>
      </w:r>
    </w:p>
    <w:p w14:paraId="62738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所有专业和</w:t>
      </w:r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级别</w:t>
      </w:r>
      <w:r>
        <w:rPr>
          <w:rFonts w:hint="eastAsia" w:ascii="仿宋" w:hAnsi="仿宋" w:eastAsia="仿宋"/>
          <w:sz w:val="32"/>
          <w:szCs w:val="32"/>
        </w:rPr>
        <w:t>的水平能力测试均采用封闭式考卷考试。</w:t>
      </w:r>
    </w:p>
    <w:p w14:paraId="1FBEE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水平能力测试试卷满分100分，测试时间为120分钟。</w:t>
      </w:r>
    </w:p>
    <w:p w14:paraId="5009D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（二）测试题型</w:t>
      </w:r>
    </w:p>
    <w:p w14:paraId="6B949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医药</w:t>
      </w:r>
      <w:r>
        <w:rPr>
          <w:rFonts w:hint="eastAsia" w:ascii="仿宋" w:hAnsi="仿宋" w:eastAsia="仿宋"/>
          <w:sz w:val="32"/>
          <w:szCs w:val="32"/>
          <w:lang w:eastAsia="zh-CN"/>
        </w:rPr>
        <w:t>、医疗器械、生物制药</w:t>
      </w:r>
      <w:r>
        <w:rPr>
          <w:rFonts w:hint="eastAsia" w:ascii="仿宋" w:hAnsi="仿宋" w:eastAsia="仿宋"/>
          <w:sz w:val="32"/>
          <w:szCs w:val="32"/>
        </w:rPr>
        <w:t>专业技术职务水平能力测试题型</w:t>
      </w:r>
      <w:r>
        <w:rPr>
          <w:rFonts w:hint="eastAsia" w:ascii="仿宋" w:hAnsi="仿宋" w:eastAsia="仿宋"/>
          <w:sz w:val="32"/>
          <w:szCs w:val="32"/>
          <w:lang w:eastAsia="zh-CN"/>
        </w:rPr>
        <w:t>分为</w:t>
      </w:r>
      <w:r>
        <w:rPr>
          <w:rFonts w:hint="eastAsia" w:ascii="仿宋" w:hAnsi="仿宋" w:eastAsia="仿宋"/>
          <w:sz w:val="32"/>
          <w:szCs w:val="32"/>
        </w:rPr>
        <w:t>判断题、单项选择题和案例分析题三类。</w:t>
      </w:r>
    </w:p>
    <w:p w14:paraId="3614D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本测试大纲自2026年6月1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日起施行。</w:t>
      </w:r>
    </w:p>
    <w:p w14:paraId="7CD83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B670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19B0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2" w:name="_Toc20153"/>
      <w:bookmarkStart w:id="3" w:name="OLE_LINK8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二、测试大纲</w:t>
      </w:r>
      <w:bookmarkEnd w:id="2"/>
    </w:p>
    <w:p w14:paraId="49DB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bookmarkStart w:id="4" w:name="_Toc519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医药专业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综合类</w:t>
      </w:r>
      <w:bookmarkStart w:id="5" w:name="_Toc24744"/>
      <w:bookmarkStart w:id="6" w:name="_Toc30924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（中级）</w:t>
      </w:r>
      <w:bookmarkEnd w:id="4"/>
      <w:bookmarkEnd w:id="5"/>
      <w:bookmarkEnd w:id="6"/>
    </w:p>
    <w:p w14:paraId="086481EA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78C12AAE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 药品管理法律、管理体系与职业道德</w:t>
      </w:r>
    </w:p>
    <w:p w14:paraId="258F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2.1 药品管理核心法律法规</w:t>
      </w:r>
    </w:p>
    <w:p w14:paraId="079B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 药品监督管理体系</w:t>
      </w:r>
    </w:p>
    <w:p w14:paraId="4E40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2.3 医药行业职业道德、执业规范与学术诚信</w:t>
      </w:r>
    </w:p>
    <w:p w14:paraId="46C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 药品研制和生产管理</w:t>
      </w:r>
    </w:p>
    <w:p w14:paraId="287F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3.1 药品研制过程与质量管理规范</w:t>
      </w:r>
    </w:p>
    <w:p w14:paraId="413A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3.2 药品注册管理制度</w:t>
      </w:r>
    </w:p>
    <w:p w14:paraId="78CD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3.3 新药上市注册</w:t>
      </w:r>
    </w:p>
    <w:p w14:paraId="73D7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3.4 药品生产质量管理规范的要求</w:t>
      </w:r>
    </w:p>
    <w:p w14:paraId="30EC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3.5 药品生产监督管理</w:t>
      </w:r>
    </w:p>
    <w:p w14:paraId="6B7A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 药物学基础</w:t>
      </w:r>
    </w:p>
    <w:p w14:paraId="548F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4.1 药物制剂基本类型、特点及质量要求</w:t>
      </w:r>
    </w:p>
    <w:p w14:paraId="29BD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4.2 药物不良反应与用药安全管理</w:t>
      </w:r>
    </w:p>
    <w:p w14:paraId="3C57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4.3 药用辅料的分类、性能及应用</w:t>
      </w:r>
    </w:p>
    <w:p w14:paraId="774E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4.4 药物的理化性质与稳定性</w:t>
      </w:r>
    </w:p>
    <w:p w14:paraId="02B0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 药品安全法律责任</w:t>
      </w:r>
    </w:p>
    <w:p w14:paraId="2222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5.1 药品安全法律责任界定和分类</w:t>
      </w:r>
    </w:p>
    <w:p w14:paraId="3B62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违反药品监督管理的法律责任</w:t>
      </w:r>
    </w:p>
    <w:p w14:paraId="3D3E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违反中医药法相关规定的法律责任</w:t>
      </w:r>
    </w:p>
    <w:p w14:paraId="21A3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缺陷药品侵权损害赔偿责任</w:t>
      </w:r>
    </w:p>
    <w:p w14:paraId="3340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 实行特殊管理的药品管理</w:t>
      </w:r>
    </w:p>
    <w:p w14:paraId="794F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6.1 麻醉药品和精神药品管理</w:t>
      </w:r>
    </w:p>
    <w:p w14:paraId="680D7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6.2 医疗用毒性药品管理</w:t>
      </w:r>
    </w:p>
    <w:p w14:paraId="1E9E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6.3 放射性药品管理</w:t>
      </w:r>
    </w:p>
    <w:p w14:paraId="04CF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6.4 药品类易制毒化学品的管理</w:t>
      </w:r>
    </w:p>
    <w:p w14:paraId="4A0A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6.5 含特殊药品复方制剂的管理</w:t>
      </w:r>
    </w:p>
    <w:p w14:paraId="58D9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7. 药品经营管理</w:t>
      </w:r>
    </w:p>
    <w:p w14:paraId="49FB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7.1 药品经营许可</w:t>
      </w:r>
    </w:p>
    <w:p w14:paraId="3EB1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7.2 药品经营管理</w:t>
      </w:r>
    </w:p>
    <w:p w14:paraId="4D21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7.3 药品网络经营管理</w:t>
      </w:r>
    </w:p>
    <w:p w14:paraId="274B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7.4 药品经营质量管理规范</w:t>
      </w:r>
    </w:p>
    <w:p w14:paraId="7EEB9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8.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其他</w:t>
      </w:r>
    </w:p>
    <w:p w14:paraId="64A2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与本专业相关的其他知识</w:t>
      </w:r>
    </w:p>
    <w:p w14:paraId="4DD8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7C1BD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7" w:name="_Toc16977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医药专业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综合类</w:t>
      </w:r>
      <w:bookmarkStart w:id="8" w:name="_Toc27062"/>
      <w:bookmarkStart w:id="9" w:name="_Toc1985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（正高级、副高级）</w:t>
      </w:r>
      <w:bookmarkEnd w:id="7"/>
      <w:bookmarkEnd w:id="8"/>
      <w:bookmarkEnd w:id="9"/>
    </w:p>
    <w:p w14:paraId="4576B412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61A90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 药品管理法律、管理体系与职业道德</w:t>
      </w:r>
    </w:p>
    <w:p w14:paraId="2BDE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2.1 药品管理核心法律法规</w:t>
      </w:r>
    </w:p>
    <w:p w14:paraId="1F98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 药品监督管理体系</w:t>
      </w:r>
    </w:p>
    <w:p w14:paraId="0988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2.3 药品管理的行政行为</w:t>
      </w:r>
    </w:p>
    <w:p w14:paraId="6C198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2.4 医药行业法律法规体系构建与政策解读</w:t>
      </w:r>
    </w:p>
    <w:p w14:paraId="29C6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2.5 医药行业合规风险防控与法律责任</w:t>
      </w:r>
    </w:p>
    <w:p w14:paraId="3139B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2.6 医药行业职业道德、执业规范与学术诚信</w:t>
      </w:r>
    </w:p>
    <w:p w14:paraId="5F53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 药品研制和生产管理</w:t>
      </w:r>
    </w:p>
    <w:p w14:paraId="1F36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3.1 药品研制过程与质量管理规范</w:t>
      </w:r>
    </w:p>
    <w:p w14:paraId="20AF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3.2 药品注册管理制度</w:t>
      </w:r>
    </w:p>
    <w:p w14:paraId="7BF6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3.3 新药上市注册</w:t>
      </w:r>
    </w:p>
    <w:p w14:paraId="47DF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3.4 药品生产许可</w:t>
      </w:r>
    </w:p>
    <w:p w14:paraId="6BE3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3.5 药品生产质量管理规范的要求</w:t>
      </w:r>
    </w:p>
    <w:p w14:paraId="25AE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3.6 药品包装管理</w:t>
      </w:r>
    </w:p>
    <w:p w14:paraId="01DC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3.7 药品生产监督管理</w:t>
      </w:r>
    </w:p>
    <w:p w14:paraId="147F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3.8 药品召回管理</w:t>
      </w:r>
    </w:p>
    <w:p w14:paraId="60FC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 药物学基础</w:t>
      </w:r>
    </w:p>
    <w:p w14:paraId="7D3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4.1 药物制剂基本类型、特点及质量要求</w:t>
      </w:r>
    </w:p>
    <w:p w14:paraId="3C38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4.2 药物不良反应与用药安全管理</w:t>
      </w:r>
    </w:p>
    <w:p w14:paraId="0890A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4.3 药用辅料的分类、性能及应用</w:t>
      </w:r>
    </w:p>
    <w:p w14:paraId="18F9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4.4 药物的理化性质与稳定性</w:t>
      </w:r>
    </w:p>
    <w:p w14:paraId="0C20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新药研发基本流程与技术要求</w:t>
      </w:r>
    </w:p>
    <w:p w14:paraId="7E1C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新型药物制剂（缓释、控释、靶向制剂）技术</w:t>
      </w:r>
    </w:p>
    <w:p w14:paraId="5B05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中药制剂现代化技术与质量控制</w:t>
      </w:r>
    </w:p>
    <w:p w14:paraId="5FAB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 药品安全法律责任</w:t>
      </w:r>
    </w:p>
    <w:p w14:paraId="270B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5.1 药品安全法律责任界定和分类</w:t>
      </w:r>
    </w:p>
    <w:p w14:paraId="72AB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5.2 行政处罚裁量适用规则</w:t>
      </w:r>
    </w:p>
    <w:p w14:paraId="4F29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5.3 违反药品监督管理的法律责任</w:t>
      </w:r>
    </w:p>
    <w:p w14:paraId="108D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5.4 违反中医药法相关规定的法律责任</w:t>
      </w:r>
    </w:p>
    <w:p w14:paraId="17DE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5.5 缺陷药品侵权损害赔偿责任</w:t>
      </w:r>
    </w:p>
    <w:p w14:paraId="4529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 实行特殊管理的药品管理</w:t>
      </w:r>
    </w:p>
    <w:p w14:paraId="4FCF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6.1 麻醉药品和精神药品管理</w:t>
      </w:r>
    </w:p>
    <w:p w14:paraId="6CCA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医疗用毒性药品管理</w:t>
      </w:r>
    </w:p>
    <w:p w14:paraId="26AB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放射性药品管理</w:t>
      </w:r>
    </w:p>
    <w:p w14:paraId="29AC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药品类易制毒化学品的管理</w:t>
      </w:r>
    </w:p>
    <w:p w14:paraId="7904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含特殊药品复方制剂的管理</w:t>
      </w:r>
    </w:p>
    <w:p w14:paraId="18E4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兴奋剂的管理</w:t>
      </w:r>
    </w:p>
    <w:p w14:paraId="1D9A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7. 药品经营管理</w:t>
      </w:r>
    </w:p>
    <w:p w14:paraId="379D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0" w:name="_Hlk231654531"/>
      <w:r>
        <w:rPr>
          <w:rFonts w:hint="default" w:ascii="Times New Roman" w:hAnsi="Times New Roman" w:eastAsia="方正仿宋_GBK" w:cs="Times New Roman"/>
          <w:sz w:val="32"/>
          <w:szCs w:val="32"/>
        </w:rPr>
        <w:t>7.1 药品经营许可</w:t>
      </w:r>
    </w:p>
    <w:p w14:paraId="3CBB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7.2 药品经营管理</w:t>
      </w:r>
    </w:p>
    <w:p w14:paraId="48C86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7.3 药品网络经营管理</w:t>
      </w:r>
    </w:p>
    <w:p w14:paraId="7614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7.4 药品经营质量管理规范</w:t>
      </w:r>
    </w:p>
    <w:bookmarkEnd w:id="10"/>
    <w:p w14:paraId="0885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7.5 处方药与非处方药的经营管理</w:t>
      </w:r>
    </w:p>
    <w:p w14:paraId="7203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7.6 药品进出口管理</w:t>
      </w:r>
    </w:p>
    <w:p w14:paraId="354F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8.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其他</w:t>
      </w:r>
    </w:p>
    <w:p w14:paraId="32D1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与本专业相关的其他知识</w:t>
      </w:r>
    </w:p>
    <w:bookmarkEnd w:id="3"/>
    <w:p w14:paraId="7923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bookmarkStart w:id="11" w:name="_Toc19783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医药专业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检验检测类</w:t>
      </w:r>
      <w:bookmarkStart w:id="12" w:name="_Toc21302"/>
      <w:bookmarkStart w:id="13" w:name="_Toc27703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（中级</w:t>
      </w:r>
      <w:bookmarkEnd w:id="12"/>
      <w:bookmarkEnd w:id="13"/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bookmarkEnd w:id="11"/>
    </w:p>
    <w:p w14:paraId="121568D1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2582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2. 药品监管法律法规与职业道德</w:t>
      </w:r>
    </w:p>
    <w:p w14:paraId="7A3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2.1 药品管理相关法律法规</w:t>
      </w:r>
    </w:p>
    <w:p w14:paraId="5CFF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2.2 药品检验检测管理相关法规</w:t>
      </w:r>
    </w:p>
    <w:p w14:paraId="0012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2.3 药品标准管理相关规定</w:t>
      </w:r>
    </w:p>
    <w:p w14:paraId="59B3F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2.4生物制品监管基本要求</w:t>
      </w:r>
    </w:p>
    <w:p w14:paraId="6045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2.5 疫苗检验检测相关规定</w:t>
      </w:r>
    </w:p>
    <w:p w14:paraId="75A4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2.6 检验检测人员职业道德与质量责任</w:t>
      </w:r>
    </w:p>
    <w:p w14:paraId="0869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化妆品监督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生产质量、注册备案相关规定</w:t>
      </w:r>
    </w:p>
    <w:p w14:paraId="3A19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3.《中国药典》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凡例</w:t>
      </w:r>
    </w:p>
    <w:p w14:paraId="354E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3.1 凡例总则</w:t>
      </w:r>
    </w:p>
    <w:p w14:paraId="1F1E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3.2 品种正文、名称与编排</w:t>
      </w:r>
    </w:p>
    <w:p w14:paraId="2336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3.3 凡例项目与要求</w:t>
      </w:r>
    </w:p>
    <w:p w14:paraId="5FA1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3.4 检验方法和限度</w:t>
      </w:r>
    </w:p>
    <w:p w14:paraId="631D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3.5 标准物质与计量</w:t>
      </w:r>
    </w:p>
    <w:p w14:paraId="1A06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3.6 精确度</w:t>
      </w:r>
    </w:p>
    <w:p w14:paraId="7438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3.7 试药、说明书、包装与标签等规定</w:t>
      </w:r>
    </w:p>
    <w:p w14:paraId="1AA2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4.《中国药典》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四部 通则</w:t>
      </w:r>
    </w:p>
    <w:p w14:paraId="5CD1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4.1 制剂通则及其他通则</w:t>
      </w:r>
    </w:p>
    <w:p w14:paraId="7D294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4.2 光学分析、色谱法、物理常数测定法及其他测定法</w:t>
      </w:r>
    </w:p>
    <w:p w14:paraId="7DBA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4.3 限量检查、特性检查、生物检查法及中药其他方法</w:t>
      </w:r>
    </w:p>
    <w:p w14:paraId="5A04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4.4 含量测定法</w:t>
      </w:r>
    </w:p>
    <w:p w14:paraId="7899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中药材鉴定与检测方法</w:t>
      </w:r>
    </w:p>
    <w:p w14:paraId="1902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微生物检查法、生物测定法、生物活性/效价测定法</w:t>
      </w:r>
    </w:p>
    <w:p w14:paraId="4112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用辅料、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包材检测方法</w:t>
      </w:r>
    </w:p>
    <w:p w14:paraId="6398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试剂与标准物质</w:t>
      </w:r>
    </w:p>
    <w:p w14:paraId="4FFA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5.《中国药典》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四部 指导原则</w:t>
      </w:r>
    </w:p>
    <w:p w14:paraId="7211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5.1 原料药、制剂相关指导原则</w:t>
      </w:r>
    </w:p>
    <w:p w14:paraId="3779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5.2 电子天平称量指导原则</w:t>
      </w:r>
    </w:p>
    <w:p w14:paraId="2AF5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5.3 中药相关指导原则</w:t>
      </w:r>
    </w:p>
    <w:p w14:paraId="32EE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5.4中药质量与安全检测方法</w:t>
      </w:r>
    </w:p>
    <w:p w14:paraId="3731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微生物相关指导原则</w:t>
      </w:r>
    </w:p>
    <w:p w14:paraId="7DF4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药用辅料、药包材等相关指导原则</w:t>
      </w:r>
    </w:p>
    <w:p w14:paraId="683A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6.化妆品安全技术规范</w:t>
      </w:r>
    </w:p>
    <w:p w14:paraId="16EA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.药学专业知识  </w:t>
      </w:r>
    </w:p>
    <w:p w14:paraId="1B9E4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.1 药物与药品质量体系</w:t>
      </w:r>
    </w:p>
    <w:p w14:paraId="0DCD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.2 药物的体内过程</w:t>
      </w:r>
    </w:p>
    <w:p w14:paraId="37FF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.3 口服固体制剂与临床应用</w:t>
      </w:r>
    </w:p>
    <w:p w14:paraId="3FCF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.4 注射剂与临床应用</w:t>
      </w:r>
    </w:p>
    <w:p w14:paraId="4C504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行业通用的规范</w:t>
      </w:r>
    </w:p>
    <w:p w14:paraId="6EE7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.1 实验室质量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及安全管理相关内容</w:t>
      </w:r>
    </w:p>
    <w:p w14:paraId="5E1E3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.2 取样、样品管理相关规定</w:t>
      </w:r>
    </w:p>
    <w:p w14:paraId="31F0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.3 仪器设备管理与计量校准规范</w:t>
      </w:r>
    </w:p>
    <w:p w14:paraId="1DE6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.4 数据处理与误差</w:t>
      </w:r>
    </w:p>
    <w:p w14:paraId="4F45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.5 检验记录与检验报告规范</w:t>
      </w:r>
    </w:p>
    <w:p w14:paraId="474C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.6 实验室环境、耗材与试剂管理</w:t>
      </w:r>
    </w:p>
    <w:p w14:paraId="6124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.7 方法学验证规范、质量风险管理规范</w:t>
      </w:r>
    </w:p>
    <w:p w14:paraId="0B87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.其他</w:t>
      </w:r>
    </w:p>
    <w:p w14:paraId="0644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7218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br w:type="page"/>
      </w:r>
    </w:p>
    <w:p w14:paraId="3DE0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4" w:name="_Toc31128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（四）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医药专业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检验检测类</w:t>
      </w:r>
      <w:bookmarkStart w:id="15" w:name="_Toc14268"/>
      <w:bookmarkStart w:id="16" w:name="_Toc2344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（正高级、副高级）</w:t>
      </w:r>
      <w:bookmarkEnd w:id="14"/>
      <w:bookmarkEnd w:id="15"/>
      <w:bookmarkEnd w:id="16"/>
    </w:p>
    <w:p w14:paraId="32104B40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1230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2. 药品监管法律法规与职业道德</w:t>
      </w:r>
    </w:p>
    <w:p w14:paraId="25ED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2.1 药品管理相关法律法规</w:t>
      </w:r>
    </w:p>
    <w:p w14:paraId="03B9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2.2 药品检验检测管理相关法规</w:t>
      </w:r>
    </w:p>
    <w:p w14:paraId="3743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2.3 药品注册、检验、抽检、复检、复验规定</w:t>
      </w:r>
    </w:p>
    <w:p w14:paraId="677C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2.4 药品标准管理相关规定</w:t>
      </w:r>
    </w:p>
    <w:p w14:paraId="2BAB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2.5 生物制品监管基本要求</w:t>
      </w:r>
    </w:p>
    <w:p w14:paraId="5476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2.6 疫苗检验检测相关规定</w:t>
      </w:r>
    </w:p>
    <w:p w14:paraId="73E2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化妆品监督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生产质量、注册备案相关规定</w:t>
      </w:r>
    </w:p>
    <w:p w14:paraId="66846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检验检测人员职业道德与质量责任</w:t>
      </w:r>
    </w:p>
    <w:p w14:paraId="7C16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药品风险监测、不良反应与结果处置</w:t>
      </w:r>
    </w:p>
    <w:p w14:paraId="3364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药品检验GLP、GMP相关要求</w:t>
      </w:r>
    </w:p>
    <w:p w14:paraId="6D42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检验检测人员职业道德与质量责任</w:t>
      </w:r>
    </w:p>
    <w:p w14:paraId="16A6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3.《中国药典》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凡例</w:t>
      </w:r>
    </w:p>
    <w:p w14:paraId="1FB0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3.1 凡例总则</w:t>
      </w:r>
    </w:p>
    <w:p w14:paraId="071D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3.2 品种正文、名称与编排</w:t>
      </w:r>
    </w:p>
    <w:p w14:paraId="6BC2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3.3 凡例项目与要求</w:t>
      </w:r>
    </w:p>
    <w:p w14:paraId="11CB6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3.4 检验方法和限度</w:t>
      </w:r>
    </w:p>
    <w:p w14:paraId="3B7D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3.5 标准物质与计量</w:t>
      </w:r>
    </w:p>
    <w:p w14:paraId="0D9A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3.6 精确度</w:t>
      </w:r>
    </w:p>
    <w:p w14:paraId="2958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3.7 试药、说明书、包装与标签等规定</w:t>
      </w:r>
    </w:p>
    <w:p w14:paraId="6CC4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4.《中国药典》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四部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通则</w:t>
      </w:r>
    </w:p>
    <w:p w14:paraId="47DA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4.1 制剂通则及其他通则</w:t>
      </w:r>
    </w:p>
    <w:p w14:paraId="37510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4.2 光学分析、色谱法、物理常数测定法及其他测定法</w:t>
      </w:r>
    </w:p>
    <w:p w14:paraId="1D92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4.3 限量检查、特性检查、生物检查法及中药其他方法</w:t>
      </w:r>
    </w:p>
    <w:p w14:paraId="2CC8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4.4 含量测定法</w:t>
      </w:r>
    </w:p>
    <w:p w14:paraId="0533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中药材鉴定与检测方法</w:t>
      </w:r>
    </w:p>
    <w:p w14:paraId="68AC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微生物检查法、生物测定法、生物活性/效价测定法</w:t>
      </w:r>
    </w:p>
    <w:p w14:paraId="3973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用辅料、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包材检测方法</w:t>
      </w:r>
    </w:p>
    <w:p w14:paraId="744E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试剂与标准物质</w:t>
      </w:r>
    </w:p>
    <w:p w14:paraId="7F4D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5.《中国药典》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现行版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四部 指导原则</w:t>
      </w:r>
    </w:p>
    <w:p w14:paraId="4481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5.1 原料药、制剂相关指导原则</w:t>
      </w:r>
    </w:p>
    <w:p w14:paraId="02C5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5.2 电子天平称量指导原则</w:t>
      </w:r>
    </w:p>
    <w:p w14:paraId="5A03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5.3 中药相关指导原则</w:t>
      </w:r>
    </w:p>
    <w:p w14:paraId="14D8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5.4中药质量与安全检测</w:t>
      </w:r>
    </w:p>
    <w:p w14:paraId="61E6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微生物相关指导原则</w:t>
      </w:r>
    </w:p>
    <w:p w14:paraId="244A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药用辅料、药包材等相关指导原则</w:t>
      </w:r>
    </w:p>
    <w:p w14:paraId="7C1A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6.化妆品安全技术规范</w:t>
      </w:r>
    </w:p>
    <w:p w14:paraId="7ED7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.药学专业知识  </w:t>
      </w:r>
    </w:p>
    <w:p w14:paraId="56DC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.1 药物与药品质量体系</w:t>
      </w:r>
    </w:p>
    <w:p w14:paraId="6A00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.2 药物的体内过程</w:t>
      </w:r>
    </w:p>
    <w:p w14:paraId="29FD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.3 药物毒性与用药安全</w:t>
      </w:r>
    </w:p>
    <w:p w14:paraId="5BB6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.4 口服制剂与临床应用</w:t>
      </w:r>
    </w:p>
    <w:p w14:paraId="72CE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.5 注射剂与临床应用</w:t>
      </w:r>
    </w:p>
    <w:p w14:paraId="01E3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.行业通用的规范</w:t>
      </w:r>
    </w:p>
    <w:p w14:paraId="24E2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.1 实验室质量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及安全管理相关内容</w:t>
      </w:r>
    </w:p>
    <w:p w14:paraId="10BB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.2 取样、样品管理相关规定</w:t>
      </w:r>
    </w:p>
    <w:p w14:paraId="5B64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.3 仪器设备管理与计量校准规范</w:t>
      </w:r>
    </w:p>
    <w:p w14:paraId="2058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.4 数据处理与误差</w:t>
      </w:r>
    </w:p>
    <w:p w14:paraId="6F66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.5 检验记录与检验报告规范</w:t>
      </w:r>
    </w:p>
    <w:p w14:paraId="78A8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.6 实验室环境、耗材与试剂管理</w:t>
      </w:r>
    </w:p>
    <w:p w14:paraId="38340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.7 方法学验证规范、质量风险管理规范</w:t>
      </w:r>
    </w:p>
    <w:p w14:paraId="51F9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.其他</w:t>
      </w:r>
    </w:p>
    <w:p w14:paraId="43FC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4B10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br w:type="page"/>
      </w:r>
    </w:p>
    <w:p w14:paraId="5A9D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7" w:name="_Toc1510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（五）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医疗器械专业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综合类</w:t>
      </w:r>
      <w:bookmarkStart w:id="18" w:name="_Toc1209"/>
      <w:bookmarkStart w:id="19" w:name="_Toc17806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（中级）</w:t>
      </w:r>
      <w:bookmarkEnd w:id="17"/>
      <w:bookmarkEnd w:id="18"/>
      <w:bookmarkEnd w:id="19"/>
    </w:p>
    <w:p w14:paraId="2E672537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6E4A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2．医疗器械相关法律法规与职业道德</w:t>
      </w:r>
    </w:p>
    <w:p w14:paraId="3261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2.1 医疗器械质量管理相关法律法规</w:t>
      </w:r>
    </w:p>
    <w:p w14:paraId="6CA4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2.2 医疗器械安全、注册与监管相关法律法规</w:t>
      </w:r>
    </w:p>
    <w:p w14:paraId="018B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2.3 医疗器械行业职业道德、学术诚信与行业规范</w:t>
      </w:r>
    </w:p>
    <w:p w14:paraId="6DA2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3．医疗器械基础知识</w:t>
      </w:r>
    </w:p>
    <w:p w14:paraId="04C8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3.1 医疗器械分类、分级及基本特性</w:t>
      </w:r>
    </w:p>
    <w:p w14:paraId="2654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3.2 医疗器械常用材料性能及应用</w:t>
      </w:r>
    </w:p>
    <w:p w14:paraId="1EF7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3.3 医用电气设备基本原理与安全基础</w:t>
      </w:r>
    </w:p>
    <w:p w14:paraId="1CAD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3.4 无源医疗器械基本构造与工作原理</w:t>
      </w:r>
    </w:p>
    <w:p w14:paraId="197F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4．医疗器械不良事件监测和再评价管理办法</w:t>
      </w:r>
    </w:p>
    <w:p w14:paraId="46BC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4.1 医疗器械不良事件监测和再评价管理职责与义务</w:t>
      </w:r>
    </w:p>
    <w:p w14:paraId="5A07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4.2 医疗器械不良事件监测和再评价管理报告与评价</w:t>
      </w:r>
    </w:p>
    <w:p w14:paraId="7A6E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4.3 医疗器械不良事件监测和再评价管理重点监测</w:t>
      </w:r>
    </w:p>
    <w:p w14:paraId="58EB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5．医疗器械监督管理条例</w:t>
      </w:r>
    </w:p>
    <w:p w14:paraId="5E42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5.1 医疗器械产品注册与备案</w:t>
      </w:r>
    </w:p>
    <w:p w14:paraId="4B17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5.2 医疗器械生产监管要点</w:t>
      </w:r>
    </w:p>
    <w:p w14:paraId="6AF2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 医疗器械经营监管要点</w:t>
      </w:r>
    </w:p>
    <w:p w14:paraId="6B26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5.4 医疗器械医疗机构使用管理</w:t>
      </w:r>
    </w:p>
    <w:p w14:paraId="41D8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5.5 医疗器械上市后全生命周期管理</w:t>
      </w:r>
    </w:p>
    <w:p w14:paraId="54E3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6．医疗器械生产质量管理规范</w:t>
      </w:r>
    </w:p>
    <w:p w14:paraId="3230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6.1 医疗器械生产质量保证</w:t>
      </w:r>
    </w:p>
    <w:p w14:paraId="76A48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6.2 医疗器械生产管理办法</w:t>
      </w:r>
    </w:p>
    <w:p w14:paraId="207B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6.3 医疗器械质量控制与产品放行</w:t>
      </w:r>
    </w:p>
    <w:p w14:paraId="4F0D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6.4 医疗器械销售与售后服务 </w:t>
      </w:r>
    </w:p>
    <w:p w14:paraId="49F3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7．医疗器械经营与使用管理</w:t>
      </w:r>
    </w:p>
    <w:p w14:paraId="2698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7.1 医疗器械经营许可与备案管理</w:t>
      </w:r>
    </w:p>
    <w:p w14:paraId="3DD1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7.2 医疗器械经营质量管理</w:t>
      </w:r>
    </w:p>
    <w:p w14:paraId="7C57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7.3 医疗器械经营监督管理</w:t>
      </w:r>
    </w:p>
    <w:p w14:paraId="0075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8.其他</w:t>
      </w:r>
    </w:p>
    <w:p w14:paraId="259D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247A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br w:type="page"/>
      </w:r>
    </w:p>
    <w:p w14:paraId="4B4CB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20" w:name="_Toc2303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（六）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医疗器械专业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综合类</w:t>
      </w:r>
      <w:bookmarkStart w:id="21" w:name="_Toc25176"/>
      <w:bookmarkStart w:id="22" w:name="_Toc2321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正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高级、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副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高级）</w:t>
      </w:r>
      <w:bookmarkEnd w:id="20"/>
      <w:bookmarkEnd w:id="21"/>
      <w:bookmarkEnd w:id="22"/>
    </w:p>
    <w:p w14:paraId="4934A871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0E99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2．医疗器械相关法律法规与职业道德</w:t>
      </w:r>
    </w:p>
    <w:p w14:paraId="26CF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2.1 医疗器械质量管理相关法律法规</w:t>
      </w:r>
    </w:p>
    <w:p w14:paraId="725D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2.2 医疗器械安全、注册与监管相关法律法规</w:t>
      </w:r>
    </w:p>
    <w:p w14:paraId="48F6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医疗器械法律法规体系构建与政策解读</w:t>
      </w:r>
    </w:p>
    <w:p w14:paraId="235F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医疗器械行业职业道德、学术诚信与行业规范</w:t>
      </w:r>
    </w:p>
    <w:p w14:paraId="1D5C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3．医疗器械基础知识</w:t>
      </w:r>
    </w:p>
    <w:p w14:paraId="7BE3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3.1 医疗器械分类、分级及基本特性</w:t>
      </w:r>
    </w:p>
    <w:p w14:paraId="634D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3.2 医疗器械常用材料性能及应用</w:t>
      </w:r>
    </w:p>
    <w:p w14:paraId="38FBE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3.3 医用电气设备基本原理与安全基础</w:t>
      </w:r>
    </w:p>
    <w:p w14:paraId="3350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3.4 无源医疗器械基本构造与工作原理</w:t>
      </w:r>
    </w:p>
    <w:p w14:paraId="6A65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3.5 医疗器械先进制造工艺（精密加工、3D打印）</w:t>
      </w:r>
    </w:p>
    <w:p w14:paraId="4536B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3.6 材料表面改性与生物相容性优化</w:t>
      </w:r>
    </w:p>
    <w:p w14:paraId="5E33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3.7 无菌包装材料与灭菌工艺技术</w:t>
      </w:r>
    </w:p>
    <w:p w14:paraId="77EA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4．医疗器械不良事件监测和再评价管理办法</w:t>
      </w:r>
    </w:p>
    <w:p w14:paraId="046D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4.1 医疗器械不良事件监测和再评价管理职责与义务</w:t>
      </w:r>
    </w:p>
    <w:p w14:paraId="721D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4.2 医疗器械不良事件监测和再评价管理报告与评价</w:t>
      </w:r>
    </w:p>
    <w:p w14:paraId="6633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4.3 医疗器械不良事件监测和再评价管理重点监测</w:t>
      </w:r>
    </w:p>
    <w:p w14:paraId="5F96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4.4 医疗器械不良事件监测和再评价管理风险控制</w:t>
      </w:r>
    </w:p>
    <w:p w14:paraId="52B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4.5 医疗器械不良事件监测和再评价管理相关法律责任</w:t>
      </w:r>
    </w:p>
    <w:p w14:paraId="2646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5．医疗器械监督管理条例</w:t>
      </w:r>
    </w:p>
    <w:p w14:paraId="7FAB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5.1 医疗器械产品注册与备案</w:t>
      </w:r>
    </w:p>
    <w:p w14:paraId="7A37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5.2 医疗器械生产监管要点</w:t>
      </w:r>
    </w:p>
    <w:p w14:paraId="39BC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5.3 医疗器械经营监管要点</w:t>
      </w:r>
    </w:p>
    <w:p w14:paraId="1F19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5.4 医疗器械医疗机构使用管理</w:t>
      </w:r>
    </w:p>
    <w:p w14:paraId="2C9AF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5.5 医疗器械上市后全生命周期管理</w:t>
      </w:r>
    </w:p>
    <w:p w14:paraId="2762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5.6 医疗器械不良事件的处理与召回管理</w:t>
      </w:r>
    </w:p>
    <w:p w14:paraId="169E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5.7 医疗器械监督检查要点</w:t>
      </w:r>
    </w:p>
    <w:p w14:paraId="257F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5.8 医疗器械监督管理相关法律责任</w:t>
      </w:r>
    </w:p>
    <w:p w14:paraId="4FEB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6．医疗器械生产质量管理规范</w:t>
      </w:r>
    </w:p>
    <w:p w14:paraId="0A9C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6.1 </w:t>
      </w:r>
      <w:bookmarkStart w:id="23" w:name="_Hlk231587865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医疗器械生产</w:t>
      </w:r>
      <w:bookmarkEnd w:id="23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质量保证</w:t>
      </w:r>
    </w:p>
    <w:p w14:paraId="2F94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6.2 医疗器械生产机构与人员</w:t>
      </w:r>
    </w:p>
    <w:p w14:paraId="0E24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6.3 医疗器械生产厂房、设施与设备</w:t>
      </w:r>
    </w:p>
    <w:p w14:paraId="310F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6.4 医疗器械生产文件和数据管理</w:t>
      </w:r>
    </w:p>
    <w:p w14:paraId="538C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6.5 医疗器械生产验证与确认</w:t>
      </w:r>
    </w:p>
    <w:p w14:paraId="31BC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6.6 医疗器械生产管理办法</w:t>
      </w:r>
    </w:p>
    <w:p w14:paraId="2636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6.7 医疗器械质量控制与产品放行</w:t>
      </w:r>
    </w:p>
    <w:p w14:paraId="1532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6.8 医疗器械销售与售后服务 </w:t>
      </w:r>
    </w:p>
    <w:p w14:paraId="3BE9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7．医疗器械经营与使用管理</w:t>
      </w:r>
    </w:p>
    <w:p w14:paraId="021A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7.1 医疗器械经营许可与备案管理</w:t>
      </w:r>
    </w:p>
    <w:p w14:paraId="4181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7.2 医疗器械经营质量管理</w:t>
      </w:r>
    </w:p>
    <w:p w14:paraId="1D78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7.3 医疗器械经营监督管理</w:t>
      </w:r>
    </w:p>
    <w:p w14:paraId="79BE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7.4 医疗器械医疗机构使用管理</w:t>
      </w:r>
    </w:p>
    <w:p w14:paraId="1C26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7.5 医疗器械不良事件监测</w:t>
      </w:r>
    </w:p>
    <w:p w14:paraId="5C6DB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7.6 医疗器械产品召回管理</w:t>
      </w:r>
    </w:p>
    <w:p w14:paraId="4DA0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其他</w:t>
      </w:r>
    </w:p>
    <w:p w14:paraId="268F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与本专业相关的其他知识</w:t>
      </w:r>
    </w:p>
    <w:p w14:paraId="2C9DA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bookmarkStart w:id="24" w:name="_Toc2892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（七）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医疗器械专业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检验检测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类</w:t>
      </w:r>
      <w:bookmarkStart w:id="25" w:name="_Toc6193"/>
      <w:bookmarkStart w:id="26" w:name="_Toc26663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级）</w:t>
      </w:r>
      <w:bookmarkEnd w:id="24"/>
      <w:bookmarkEnd w:id="25"/>
      <w:bookmarkEnd w:id="26"/>
    </w:p>
    <w:p w14:paraId="5E36E7BB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00EE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 医疗器械法律法规</w:t>
      </w:r>
    </w:p>
    <w:p w14:paraId="4DA8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2.1《医疗器械监督管理条例》及配套规章（注册/备案、标签/说明书）</w:t>
      </w:r>
    </w:p>
    <w:p w14:paraId="670E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2.2《医疗器械分类规则》及分类目录</w:t>
      </w:r>
    </w:p>
    <w:p w14:paraId="2BC3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2.3 医疗器械命名与编码规则</w:t>
      </w:r>
    </w:p>
    <w:p w14:paraId="16EA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2.4《医疗器械质量抽查检验管理办法》及配套工作程序</w:t>
      </w:r>
    </w:p>
    <w:p w14:paraId="47A5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3. 医疗器械检验基础与标准化知识</w:t>
      </w:r>
    </w:p>
    <w:p w14:paraId="274B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3.1 医疗器械检验工作规范及相关要求</w:t>
      </w:r>
    </w:p>
    <w:p w14:paraId="0540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3.2 医疗器械标准管理办法</w:t>
      </w:r>
    </w:p>
    <w:p w14:paraId="0FD0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3.3 医疗器械产品技术要求编写指导原则</w:t>
      </w:r>
    </w:p>
    <w:p w14:paraId="40D0C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4. 医疗器械职业道德</w:t>
      </w:r>
    </w:p>
    <w:p w14:paraId="03AB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4.1 检验检测从业人员监督管理工作指引</w:t>
      </w:r>
    </w:p>
    <w:p w14:paraId="417C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4.2 检验检测机构监督管理办法</w:t>
      </w:r>
    </w:p>
    <w:p w14:paraId="6872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5.有源医疗器械及电磁兼容检验</w:t>
      </w:r>
    </w:p>
    <w:p w14:paraId="6BA2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5.1 医用电气设备安全相关要求（9706系列）</w:t>
      </w:r>
    </w:p>
    <w:p w14:paraId="5E67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5.2 测量、控制和实验室用电气设备相关要求（42125系列）</w:t>
      </w:r>
    </w:p>
    <w:p w14:paraId="3FDF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 医用电气设备环境与可靠性试验</w:t>
      </w:r>
    </w:p>
    <w:p w14:paraId="75AD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5.4 电磁兼容基础理论（18268系列、YY 9706.102）</w:t>
      </w:r>
    </w:p>
    <w:p w14:paraId="33030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 无源医疗器械及体外诊断试剂（IVD）检验</w:t>
      </w:r>
    </w:p>
    <w:p w14:paraId="322B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6.1 医疗器械化学性能检验基础</w:t>
      </w:r>
    </w:p>
    <w:p w14:paraId="4C78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6.2 微生物限度检查与无菌检验</w:t>
      </w:r>
    </w:p>
    <w:p w14:paraId="3A52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6.3 IVD产品性能评估基础（准确度、精密度、线性、干扰试验）</w:t>
      </w:r>
    </w:p>
    <w:p w14:paraId="3FE1C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6.4 IVD检验常用仪器原理（PCR仪、酶标仪等）</w:t>
      </w:r>
    </w:p>
    <w:p w14:paraId="5394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7. 实验室管理与质量控制</w:t>
      </w:r>
    </w:p>
    <w:p w14:paraId="0D6B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7.1 检验检测机构资质认定管理办法（总局令第163号）</w:t>
      </w:r>
    </w:p>
    <w:p w14:paraId="69FE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7.2 检测和校准实验室能力的通用要求（ISO/IEC 17025、GB/T 27025-2019）</w:t>
      </w:r>
    </w:p>
    <w:p w14:paraId="3ABA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7.3 检验过程控制与记录管理</w:t>
      </w:r>
    </w:p>
    <w:p w14:paraId="238A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7.4 设备管理、校准与期间核查</w:t>
      </w:r>
    </w:p>
    <w:p w14:paraId="260A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7.5 样品管理（接收、储存、处置）</w:t>
      </w:r>
    </w:p>
    <w:p w14:paraId="0714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 其他</w:t>
      </w:r>
    </w:p>
    <w:p w14:paraId="0896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2254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br w:type="page"/>
      </w:r>
    </w:p>
    <w:p w14:paraId="35FA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bookmarkStart w:id="27" w:name="_Toc14275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（八）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医疗器械专业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检验检测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类</w:t>
      </w:r>
      <w:bookmarkStart w:id="28" w:name="_Toc15354"/>
      <w:bookmarkStart w:id="29" w:name="_Toc324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正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高级、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副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高级）</w:t>
      </w:r>
      <w:bookmarkEnd w:id="27"/>
      <w:bookmarkEnd w:id="28"/>
      <w:bookmarkEnd w:id="29"/>
    </w:p>
    <w:p w14:paraId="6DFE7FFF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6714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 医疗器械法律法规</w:t>
      </w:r>
    </w:p>
    <w:p w14:paraId="0A16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2.1《医疗器械监督管理条例》及配套规章（注册、生产、经营、使用、标签/说明书）</w:t>
      </w:r>
    </w:p>
    <w:p w14:paraId="379A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2.2《医疗器械分类规则》及分类目录</w:t>
      </w:r>
    </w:p>
    <w:p w14:paraId="707A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2.3 医疗器械命名与编码规则</w:t>
      </w:r>
    </w:p>
    <w:p w14:paraId="6071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2.4《医疗器械质量抽查检验管理办法》及配套工作程序</w:t>
      </w:r>
    </w:p>
    <w:p w14:paraId="131F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2.5 创新医疗器械特别审查程序</w:t>
      </w:r>
    </w:p>
    <w:p w14:paraId="2FB8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2.6 医疗器械注册自检管理规定</w:t>
      </w:r>
    </w:p>
    <w:p w14:paraId="4C16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2.7 医疗器械召回管理办法</w:t>
      </w:r>
    </w:p>
    <w:p w14:paraId="62945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3. 医疗器械检验基础与标准化知识</w:t>
      </w:r>
    </w:p>
    <w:p w14:paraId="2F3A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3.1 医疗器械检验工作规范及相关要求</w:t>
      </w:r>
    </w:p>
    <w:p w14:paraId="05DE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3.2 医疗器械标准管理办法</w:t>
      </w:r>
    </w:p>
    <w:p w14:paraId="1A84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3.3 医疗器械产品技术要求编写指导原则</w:t>
      </w:r>
    </w:p>
    <w:p w14:paraId="2A0A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3.4 医疗器械标准制修订工作管理规范</w:t>
      </w:r>
    </w:p>
    <w:p w14:paraId="431D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3.5 医疗器械标准化技术组织委员管理细则</w:t>
      </w:r>
    </w:p>
    <w:p w14:paraId="7B61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3.6 医疗器械标准化战略与前沿动态</w:t>
      </w:r>
    </w:p>
    <w:p w14:paraId="4ECC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4. 医疗器械职业道德与质量管理体系</w:t>
      </w:r>
    </w:p>
    <w:p w14:paraId="7017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4.1 检验检测从业人员监督管理工作指引</w:t>
      </w:r>
    </w:p>
    <w:p w14:paraId="5720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4.2 检验检测机构监督管理办法</w:t>
      </w:r>
    </w:p>
    <w:p w14:paraId="1AE9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4.3 医疗器械风险管理对医疗器械的应用（GB/T 42062—2022/ISO 14971）</w:t>
      </w:r>
    </w:p>
    <w:p w14:paraId="04E8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4.4 医疗器械质量管理体系全过程要求（GB/T 42061—2022）</w:t>
      </w:r>
    </w:p>
    <w:p w14:paraId="5496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5. 有源医疗器械及电磁兼容检验</w:t>
      </w:r>
    </w:p>
    <w:p w14:paraId="044B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5.1 医用电气设备安全相关要求（9706系列）</w:t>
      </w:r>
    </w:p>
    <w:p w14:paraId="4E90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5.2 测量、控制和实验室用电气设备相关要求（42125系列）</w:t>
      </w:r>
    </w:p>
    <w:p w14:paraId="0732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 医用电气设备环境与可靠性试验</w:t>
      </w:r>
    </w:p>
    <w:p w14:paraId="1706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5.4 电磁兼容基础理论（18268系列、YY 9706.102）</w:t>
      </w:r>
    </w:p>
    <w:p w14:paraId="12EE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5.5 医疗器械可用性工程（YY/T 1474）</w:t>
      </w:r>
    </w:p>
    <w:p w14:paraId="6FD3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5.6 医疗器械软件及网络安全相关要求</w:t>
      </w:r>
    </w:p>
    <w:p w14:paraId="18FD0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 无源医疗器械及体外诊断试剂（IVD）检验</w:t>
      </w:r>
    </w:p>
    <w:p w14:paraId="37AD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6.1 医疗器械化学性能检验基础</w:t>
      </w:r>
    </w:p>
    <w:p w14:paraId="0202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6.2 微生物限度检查与无菌检验</w:t>
      </w:r>
    </w:p>
    <w:p w14:paraId="195E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6.3 IVD产品性能评估基础（准确度、精密度、线性、干扰试验），以及IVD产品稳定性研究与评价</w:t>
      </w:r>
    </w:p>
    <w:p w14:paraId="22DA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6.4 IVD检验常用仪器原理（PCR仪、酶标仪等）</w:t>
      </w:r>
    </w:p>
    <w:p w14:paraId="211A7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6.5 医疗器械生物相容性试验方法及结果评价</w:t>
      </w:r>
    </w:p>
    <w:p w14:paraId="3C4A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6.6 洁净室（区）环境监测（GB/T 16292、GB/T 16293、GB/T 16294）</w:t>
      </w:r>
    </w:p>
    <w:p w14:paraId="11E3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7. 实验室管理与质量控制</w:t>
      </w:r>
    </w:p>
    <w:p w14:paraId="07E2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7.1 检验检测机构资质认定管理办法（总局令第163号）</w:t>
      </w:r>
    </w:p>
    <w:p w14:paraId="741E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7.2 检测和校准实验室能力的通用要求（ISO/IEC 17025、GB/T 27025-2019）</w:t>
      </w:r>
    </w:p>
    <w:p w14:paraId="1094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7.3 检验过程控制与记录管理</w:t>
      </w:r>
    </w:p>
    <w:p w14:paraId="3CE6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7.4 设备管理、校准与期间核查</w:t>
      </w:r>
    </w:p>
    <w:p w14:paraId="58D4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7.5 样品管理（接收、储存、处置）</w:t>
      </w:r>
    </w:p>
    <w:p w14:paraId="6250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7.6 检验检测机构资质认定“一单一库”相关要求</w:t>
      </w:r>
    </w:p>
    <w:p w14:paraId="1A34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7.7能力验证与实验室间比对</w:t>
      </w:r>
    </w:p>
    <w:p w14:paraId="0199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7.8 质量监督与质量改进（内部审核、管理评审）</w:t>
      </w:r>
    </w:p>
    <w:p w14:paraId="6743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7.9 测量不确定度评定与应用</w:t>
      </w:r>
    </w:p>
    <w:p w14:paraId="5B3B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 其他</w:t>
      </w:r>
    </w:p>
    <w:p w14:paraId="5329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2FF7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br w:type="page"/>
      </w:r>
    </w:p>
    <w:p w14:paraId="04B1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30" w:name="_Toc1867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（九）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生物制药专业</w:t>
      </w:r>
      <w:bookmarkStart w:id="31" w:name="_Toc7981"/>
      <w:bookmarkStart w:id="32" w:name="_Toc24512"/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（中级）</w:t>
      </w:r>
      <w:bookmarkEnd w:id="30"/>
      <w:bookmarkEnd w:id="31"/>
      <w:bookmarkEnd w:id="32"/>
    </w:p>
    <w:p w14:paraId="0651872B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41F9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 药品管理法律、管理体系与职业道德</w:t>
      </w:r>
    </w:p>
    <w:p w14:paraId="1285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2.1 药品管理核心法律法规</w:t>
      </w:r>
    </w:p>
    <w:p w14:paraId="3865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2.2 药品监督管理体系</w:t>
      </w:r>
    </w:p>
    <w:p w14:paraId="3AFC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2.3 医药行业职业道德、执业规范与学术诚信</w:t>
      </w:r>
    </w:p>
    <w:p w14:paraId="07B7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3. 药品研制和生产管理</w:t>
      </w:r>
    </w:p>
    <w:p w14:paraId="2328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3.1 药品研制过程与质量管理规范</w:t>
      </w:r>
    </w:p>
    <w:p w14:paraId="65AA1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3.2 药品注册管理制度</w:t>
      </w:r>
    </w:p>
    <w:p w14:paraId="48D0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3.3 新药上市注册</w:t>
      </w:r>
    </w:p>
    <w:p w14:paraId="7499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3.4 药品生产质量管理规范的要求</w:t>
      </w:r>
    </w:p>
    <w:p w14:paraId="2EAC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3.5 药品生产监督管理</w:t>
      </w:r>
    </w:p>
    <w:p w14:paraId="51E9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4．生物制药基础知识</w:t>
      </w:r>
    </w:p>
    <w:p w14:paraId="062F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4.1 微生物与细胞生物学基础知识</w:t>
      </w:r>
    </w:p>
    <w:p w14:paraId="6CC1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4.2 生物化学、分子生物学基础内容</w:t>
      </w:r>
    </w:p>
    <w:p w14:paraId="4D4C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4.3 免疫学基础原理</w:t>
      </w:r>
    </w:p>
    <w:p w14:paraId="7AC6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4.4 生化分离基本原理</w:t>
      </w:r>
    </w:p>
    <w:p w14:paraId="728D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5. 药品安全法律责任</w:t>
      </w:r>
    </w:p>
    <w:p w14:paraId="26B1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5.1 违反药品监督管理的法律责任</w:t>
      </w:r>
    </w:p>
    <w:p w14:paraId="10D6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5.2 违反中医药法相关规定的法律责任</w:t>
      </w:r>
    </w:p>
    <w:p w14:paraId="2047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 缺陷药品侵权损害赔偿责任</w:t>
      </w:r>
    </w:p>
    <w:p w14:paraId="7CEF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 实行特殊管理的药品管理</w:t>
      </w:r>
    </w:p>
    <w:p w14:paraId="1C08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6.1 疫苗管理</w:t>
      </w:r>
    </w:p>
    <w:p w14:paraId="0914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6.2 血液制品管理</w:t>
      </w:r>
    </w:p>
    <w:p w14:paraId="724C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6.3 麻醉药品和精神药品管理</w:t>
      </w:r>
    </w:p>
    <w:p w14:paraId="0C5F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6.4 医疗用毒性药品管理</w:t>
      </w:r>
    </w:p>
    <w:p w14:paraId="4781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6.5 放射性药品管理</w:t>
      </w:r>
    </w:p>
    <w:p w14:paraId="1010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7. 药品经营管理</w:t>
      </w:r>
    </w:p>
    <w:p w14:paraId="5530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7.1 药品经营许可</w:t>
      </w:r>
    </w:p>
    <w:p w14:paraId="3467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7.2 药品经营管理</w:t>
      </w:r>
    </w:p>
    <w:p w14:paraId="1007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7.3 药品网络经营管理</w:t>
      </w:r>
    </w:p>
    <w:p w14:paraId="1CA8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7.4 药品经营质量管理规范</w:t>
      </w:r>
    </w:p>
    <w:p w14:paraId="3794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 其他</w:t>
      </w:r>
    </w:p>
    <w:p w14:paraId="5E03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与本专业相关的其他知识</w:t>
      </w:r>
    </w:p>
    <w:p w14:paraId="674A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br w:type="page"/>
      </w:r>
    </w:p>
    <w:p w14:paraId="2B0B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640" w:firstLineChars="200"/>
        <w:jc w:val="center"/>
        <w:textAlignment w:val="auto"/>
        <w:outlineLvl w:val="0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bookmarkStart w:id="33" w:name="_Toc2568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（十）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生物制药专业</w:t>
      </w:r>
      <w:bookmarkStart w:id="34" w:name="_Toc23423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（正高级、副高级）</w:t>
      </w:r>
      <w:bookmarkEnd w:id="33"/>
      <w:bookmarkEnd w:id="34"/>
    </w:p>
    <w:p w14:paraId="00757E4B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习近平总书记关于药品安全工作的重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指示批示</w:t>
      </w:r>
    </w:p>
    <w:p w14:paraId="075C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 药品管理法律、管理体系与职业道德</w:t>
      </w:r>
    </w:p>
    <w:p w14:paraId="7053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2.1 药品管理核心法律法规</w:t>
      </w:r>
    </w:p>
    <w:p w14:paraId="4FE5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2.2 药品监督管理体系</w:t>
      </w:r>
    </w:p>
    <w:p w14:paraId="20C6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2.3 药品管理的行政行为</w:t>
      </w:r>
    </w:p>
    <w:p w14:paraId="01B8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2.4医药行业法律法规体系构建与政策解读</w:t>
      </w:r>
    </w:p>
    <w:p w14:paraId="0D91E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2.5医药行业合规风险防控与法律责任</w:t>
      </w:r>
    </w:p>
    <w:p w14:paraId="3263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2.6医药行业职业道德、执业规范与学术诚信</w:t>
      </w:r>
    </w:p>
    <w:p w14:paraId="2B6B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 药品研制和生产管理</w:t>
      </w:r>
    </w:p>
    <w:p w14:paraId="6874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3.1 药品研制过程与质量管理规范</w:t>
      </w:r>
    </w:p>
    <w:p w14:paraId="78536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3.2 药品注册管理制度</w:t>
      </w:r>
    </w:p>
    <w:p w14:paraId="32D8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3.3 新药上市注册</w:t>
      </w:r>
    </w:p>
    <w:p w14:paraId="6B2FA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3.4 药品生产许可</w:t>
      </w:r>
    </w:p>
    <w:p w14:paraId="1E1C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3.5 药品生产质量管理规范的要求</w:t>
      </w:r>
    </w:p>
    <w:p w14:paraId="45F3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3.6 药品包装管理</w:t>
      </w:r>
    </w:p>
    <w:p w14:paraId="1D34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3.7 药品生产监督管理</w:t>
      </w:r>
    </w:p>
    <w:p w14:paraId="10C5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3.8 药品召回管理</w:t>
      </w:r>
    </w:p>
    <w:p w14:paraId="5B7C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4．生物制药基础知识</w:t>
      </w:r>
    </w:p>
    <w:p w14:paraId="54D9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4.1 微生物与细胞生物学基础知识</w:t>
      </w:r>
    </w:p>
    <w:p w14:paraId="3C8A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4.2 生物化学、分子生物学基础内容</w:t>
      </w:r>
    </w:p>
    <w:p w14:paraId="1B62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4.3 免疫学基础原理</w:t>
      </w:r>
    </w:p>
    <w:p w14:paraId="2BEE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4.4 生化分离基本原理</w:t>
      </w:r>
    </w:p>
    <w:p w14:paraId="283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4.5 单抗、细胞治疗药物产业化工艺</w:t>
      </w:r>
    </w:p>
    <w:p w14:paraId="0F7D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4.6 基因药物制备关键工艺开发</w:t>
      </w:r>
    </w:p>
    <w:p w14:paraId="6553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4.7 创新生物药处方产业化转化</w:t>
      </w:r>
    </w:p>
    <w:p w14:paraId="57E5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4.8 长效缓释生物制剂研发设计</w:t>
      </w:r>
    </w:p>
    <w:p w14:paraId="0D97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 药品安全法律责任</w:t>
      </w:r>
    </w:p>
    <w:p w14:paraId="0837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5.1 药品安全法律责任界定和分类</w:t>
      </w:r>
    </w:p>
    <w:p w14:paraId="5497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5.2 行政处罚裁量适用规则</w:t>
      </w:r>
    </w:p>
    <w:p w14:paraId="5D2C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5.3 违反药品监督管理的法律责任</w:t>
      </w:r>
    </w:p>
    <w:p w14:paraId="21EB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5.4 违反中医药法相关规定的法律责任</w:t>
      </w:r>
    </w:p>
    <w:p w14:paraId="5447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5.5 缺陷药品侵权损害赔偿责任</w:t>
      </w:r>
    </w:p>
    <w:p w14:paraId="4A33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 实行特殊管理的药品管理</w:t>
      </w:r>
    </w:p>
    <w:p w14:paraId="47BC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6.1 疫苗管理</w:t>
      </w:r>
    </w:p>
    <w:p w14:paraId="1611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6.2 血液制品管理</w:t>
      </w:r>
    </w:p>
    <w:p w14:paraId="43D9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6.3 麻醉药品和精神药品管理</w:t>
      </w:r>
    </w:p>
    <w:p w14:paraId="7A3F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6.4 医疗用毒性药品管理</w:t>
      </w:r>
    </w:p>
    <w:p w14:paraId="5E4B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6.5 放射性药品管理</w:t>
      </w:r>
    </w:p>
    <w:p w14:paraId="0875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6.6 药品类易制毒化学品的管理</w:t>
      </w:r>
    </w:p>
    <w:p w14:paraId="1D65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6.7 含特殊药品复方制剂的管理</w:t>
      </w:r>
    </w:p>
    <w:p w14:paraId="6CF6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6.8 兴奋剂的管理</w:t>
      </w:r>
    </w:p>
    <w:p w14:paraId="5A16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 药品经营管理</w:t>
      </w:r>
    </w:p>
    <w:p w14:paraId="2BB2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7.1 药品经营许可</w:t>
      </w:r>
    </w:p>
    <w:p w14:paraId="00E0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7.2 药品经营管理</w:t>
      </w:r>
    </w:p>
    <w:p w14:paraId="41D7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7.3 药品网络经营管理</w:t>
      </w:r>
    </w:p>
    <w:p w14:paraId="7174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7.4 药品经营质量管理规范</w:t>
      </w:r>
    </w:p>
    <w:p w14:paraId="0FE0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7.5 处方药与非处方药的经营管理</w:t>
      </w:r>
    </w:p>
    <w:p w14:paraId="3278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7.6 药品进出口管理</w:t>
      </w:r>
    </w:p>
    <w:p w14:paraId="3E3F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1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8. 其他</w:t>
      </w:r>
    </w:p>
    <w:p w14:paraId="3FCF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  <w14:ligatures w14:val="standardContextual"/>
        </w:rPr>
        <w:t>与本专业相关的其他知识</w:t>
      </w:r>
    </w:p>
    <w:p w14:paraId="378F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1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666EF914">
      <w:pPr>
        <w:widowControl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等线">
    <w:altName w:val="HarmonyOS Sans SC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Noto Serif CJK JP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Noto Serif CJK JP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HarmonyOS Sans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08C3">
    <w:pPr>
      <w:pStyle w:val="1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D1CA3F4">
                          <w:pPr>
                            <w:pStyle w:val="12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1CA3F4">
                    <w:pPr>
                      <w:pStyle w:val="12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C0280">
    <w:pPr>
      <w:pStyle w:val="1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97CE0B">
                          <w:pPr>
                            <w:pStyle w:val="12"/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Arial" w:hAnsi="Arial" w:cs="Arial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7CE0B">
                    <w:pPr>
                      <w:pStyle w:val="12"/>
                      <w:rPr>
                        <w:rFonts w:hint="default"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Arial" w:hAnsi="Arial" w:cs="Arial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C669A0"/>
    <w:rsid w:val="5FF71527"/>
    <w:rsid w:val="BFA7EED7"/>
    <w:rsid w:val="CF83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597"/>
      <w:sz w:val="48"/>
      <w:szCs w:val="48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597"/>
      <w:sz w:val="40"/>
      <w:szCs w:val="40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paragraph" w:styleId="5">
    <w:name w:val="heading 4"/>
    <w:basedOn w:val="1"/>
    <w:next w:val="1"/>
    <w:link w:val="22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6">
    <w:name w:val="heading 5"/>
    <w:basedOn w:val="1"/>
    <w:next w:val="1"/>
    <w:link w:val="23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7">
    <w:name w:val="heading 6"/>
    <w:basedOn w:val="1"/>
    <w:next w:val="1"/>
    <w:link w:val="24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8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qFormat/>
    <w:uiPriority w:val="99"/>
    <w:pPr>
      <w:ind w:left="100" w:leftChars="2500"/>
    </w:pPr>
  </w:style>
  <w:style w:type="paragraph" w:styleId="12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Subtitle"/>
    <w:basedOn w:val="1"/>
    <w:next w:val="1"/>
    <w:link w:val="29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20">
    <w:name w:val="标题 2 字符"/>
    <w:basedOn w:val="18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21">
    <w:name w:val="标题 3 字符"/>
    <w:basedOn w:val="18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2">
    <w:name w:val="标题 4 字符"/>
    <w:basedOn w:val="18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23">
    <w:name w:val="标题 5 字符"/>
    <w:basedOn w:val="18"/>
    <w:link w:val="6"/>
    <w:qFormat/>
    <w:uiPriority w:val="9"/>
    <w:rPr>
      <w:rFonts w:cs="宋体"/>
      <w:color w:val="2F5597"/>
      <w:sz w:val="24"/>
    </w:rPr>
  </w:style>
  <w:style w:type="character" w:customStyle="1" w:styleId="24">
    <w:name w:val="标题 6 字符"/>
    <w:basedOn w:val="18"/>
    <w:link w:val="7"/>
    <w:qFormat/>
    <w:uiPriority w:val="9"/>
    <w:rPr>
      <w:rFonts w:cs="宋体"/>
      <w:b/>
      <w:bCs/>
      <w:color w:val="2F5597"/>
    </w:rPr>
  </w:style>
  <w:style w:type="character" w:customStyle="1" w:styleId="25">
    <w:name w:val="标题 7 字符"/>
    <w:basedOn w:val="18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字符"/>
    <w:basedOn w:val="18"/>
    <w:link w:val="9"/>
    <w:qFormat/>
    <w:uiPriority w:val="9"/>
    <w:rPr>
      <w:rFonts w:cs="宋体"/>
      <w:color w:val="595959"/>
    </w:rPr>
  </w:style>
  <w:style w:type="character" w:customStyle="1" w:styleId="27">
    <w:name w:val="标题 9 字符"/>
    <w:basedOn w:val="18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字符"/>
    <w:basedOn w:val="18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3F3F3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/>
      <w:spacing w:val="5"/>
    </w:rPr>
  </w:style>
  <w:style w:type="character" w:customStyle="1" w:styleId="37">
    <w:name w:val="日期 字符"/>
    <w:basedOn w:val="18"/>
    <w:link w:val="11"/>
    <w:qFormat/>
    <w:uiPriority w:val="99"/>
  </w:style>
  <w:style w:type="character" w:customStyle="1" w:styleId="38">
    <w:name w:val="页眉 字符"/>
    <w:basedOn w:val="18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9">
    <w:name w:val="页脚 字符"/>
    <w:basedOn w:val="18"/>
    <w:link w:val="1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6646</Words>
  <Characters>7572</Characters>
  <Paragraphs>496</Paragraphs>
  <TotalTime>6</TotalTime>
  <ScaleCrop>false</ScaleCrop>
  <LinksUpToDate>false</LinksUpToDate>
  <CharactersWithSpaces>7973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2026-05-28T20:44:00Z</dcterms:created>
  <dc:creator>yl zeng</dc:creator>
  <cp:lastModifiedBy>smiley</cp:lastModifiedBy>
  <dcterms:modified xsi:type="dcterms:W3CDTF">2026-06-12T18:51:17Z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eyJoZGlkIjoiYzc2NWFhZjNhMDE0NTgzYTk2ODRmZGVkNDRmYWNmMzciLCJ1c2VySWQiOiIyMzMxODYyNzcifQ==</vt:lpwstr>
  </property>
  <property fmtid="{D5CDD505-2E9C-101B-9397-08002B2CF9AE}" pid="3" name="KSOProductBuildVer">
    <vt:lpwstr>2052-12.9.0.26867</vt:lpwstr>
  </property>
  <property fmtid="{D5CDD505-2E9C-101B-9397-08002B2CF9AE}" pid="4" name="ICV">
    <vt:lpwstr>65EC3F7A60F7B96AD5DD2B6A8CDF260D_43</vt:lpwstr>
  </property>
</Properties>
</file>