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CD01B5">
      <w:pPr>
        <w:adjustRightInd/>
        <w:snapToGrid/>
        <w:ind w:firstLine="0" w:firstLineChars="0"/>
        <w:jc w:val="center"/>
        <w:rPr>
          <w:rFonts w:hint="eastAsia" w:ascii="仿宋_GB2312" w:hAnsi="仿宋_GB2312" w:cs="仿宋_GB2312"/>
          <w:b/>
          <w:sz w:val="52"/>
          <w:szCs w:val="52"/>
          <w:lang w:eastAsia="zh-CN"/>
        </w:rPr>
      </w:pPr>
      <w:bookmarkStart w:id="0" w:name="_Toc69695265"/>
      <w:bookmarkStart w:id="1" w:name="_Toc16030"/>
      <w:bookmarkStart w:id="2" w:name="_Toc208502703"/>
      <w:bookmarkStart w:id="3" w:name="_Toc55228936"/>
      <w:bookmarkStart w:id="4" w:name="_Toc55805342"/>
      <w:bookmarkStart w:id="5" w:name="_Toc55227663"/>
      <w:bookmarkStart w:id="6" w:name="_Toc61437592"/>
      <w:bookmarkStart w:id="7" w:name="_Toc57365747"/>
      <w:bookmarkStart w:id="8" w:name="_Toc55921467"/>
      <w:r>
        <w:rPr>
          <w:rFonts w:hint="eastAsia" w:ascii="仿宋_GB2312" w:hAnsi="仿宋_GB2312" w:cs="仿宋_GB2312"/>
          <w:b/>
          <w:sz w:val="52"/>
          <w:szCs w:val="52"/>
          <w:lang w:eastAsia="zh-CN"/>
        </w:rPr>
        <w:t>湖北省药品监督管理局</w:t>
      </w:r>
    </w:p>
    <w:p w14:paraId="2DC74702">
      <w:pPr>
        <w:adjustRightInd/>
        <w:snapToGrid/>
        <w:ind w:firstLine="0" w:firstLineChars="0"/>
        <w:jc w:val="center"/>
        <w:rPr>
          <w:rFonts w:hint="eastAsia" w:ascii="仿宋_GB2312" w:hAnsi="仿宋_GB2312" w:cs="仿宋_GB2312"/>
          <w:b/>
          <w:sz w:val="52"/>
          <w:szCs w:val="52"/>
          <w:lang w:eastAsia="zh-CN"/>
        </w:rPr>
      </w:pPr>
      <w:r>
        <w:rPr>
          <w:rFonts w:hint="eastAsia" w:ascii="仿宋_GB2312" w:hAnsi="仿宋_GB2312" w:cs="仿宋_GB2312"/>
          <w:b/>
          <w:sz w:val="52"/>
          <w:szCs w:val="52"/>
          <w:lang w:eastAsia="zh-CN"/>
        </w:rPr>
        <w:t>医疗器械在研产品登记与咨询服务系统</w:t>
      </w:r>
    </w:p>
    <w:p w14:paraId="50FBF1CA">
      <w:pPr>
        <w:pStyle w:val="6"/>
        <w:ind w:firstLine="1044"/>
        <w:jc w:val="center"/>
        <w:rPr>
          <w:rFonts w:hint="eastAsia" w:ascii="黑体" w:hAnsi="黑体" w:eastAsia="黑体" w:cs="黑体"/>
          <w:b/>
          <w:sz w:val="52"/>
          <w:szCs w:val="52"/>
          <w:lang w:eastAsia="zh-CN"/>
        </w:rPr>
      </w:pPr>
    </w:p>
    <w:p w14:paraId="6C77B8F5">
      <w:pPr>
        <w:pStyle w:val="6"/>
        <w:ind w:firstLine="1044"/>
        <w:jc w:val="center"/>
        <w:rPr>
          <w:rFonts w:hint="eastAsia" w:ascii="黑体" w:hAnsi="黑体" w:eastAsia="黑体" w:cs="黑体"/>
          <w:b/>
          <w:sz w:val="52"/>
          <w:szCs w:val="52"/>
          <w:lang w:eastAsia="zh-CN"/>
        </w:rPr>
      </w:pPr>
    </w:p>
    <w:p w14:paraId="47FF8265">
      <w:pPr>
        <w:adjustRightInd/>
        <w:snapToGrid/>
        <w:ind w:firstLine="1044"/>
        <w:jc w:val="center"/>
        <w:rPr>
          <w:rFonts w:hint="eastAsia" w:ascii="黑体" w:hAnsi="黑体" w:eastAsia="黑体" w:cs="黑体"/>
          <w:b/>
          <w:sz w:val="52"/>
          <w:szCs w:val="52"/>
          <w:lang w:eastAsia="zh-CN"/>
        </w:rPr>
      </w:pPr>
    </w:p>
    <w:p w14:paraId="303A2C0B">
      <w:pPr>
        <w:adjustRightInd/>
        <w:snapToGrid/>
        <w:ind w:firstLine="0" w:firstLineChars="0"/>
        <w:jc w:val="center"/>
        <w:rPr>
          <w:rFonts w:hint="eastAsia" w:ascii="仿宋_GB2312" w:hAnsi="仿宋_GB2312" w:cs="仿宋_GB2312"/>
          <w:b/>
          <w:sz w:val="72"/>
          <w:szCs w:val="72"/>
          <w:lang w:eastAsia="zh-CN"/>
        </w:rPr>
      </w:pPr>
      <w:bookmarkStart w:id="9" w:name="_Toc592"/>
      <w:r>
        <w:rPr>
          <w:rFonts w:hint="eastAsia" w:ascii="仿宋_GB2312" w:hAnsi="仿宋_GB2312" w:cs="仿宋_GB2312"/>
          <w:b/>
          <w:sz w:val="72"/>
          <w:szCs w:val="72"/>
          <w:lang w:val="en-US" w:eastAsia="zh-CN"/>
        </w:rPr>
        <w:t>操作</w:t>
      </w:r>
      <w:bookmarkStart w:id="20" w:name="_GoBack"/>
      <w:bookmarkEnd w:id="20"/>
      <w:r>
        <w:rPr>
          <w:rFonts w:hint="eastAsia" w:ascii="仿宋_GB2312" w:hAnsi="仿宋_GB2312" w:cs="仿宋_GB2312"/>
          <w:b/>
          <w:sz w:val="72"/>
          <w:szCs w:val="72"/>
          <w:lang w:eastAsia="zh-CN"/>
        </w:rPr>
        <w:t>手</w:t>
      </w:r>
      <w:bookmarkEnd w:id="9"/>
      <w:bookmarkStart w:id="10" w:name="_Toc27290"/>
      <w:r>
        <w:rPr>
          <w:rFonts w:hint="eastAsia" w:ascii="仿宋_GB2312" w:hAnsi="仿宋_GB2312" w:cs="仿宋_GB2312"/>
          <w:b/>
          <w:sz w:val="72"/>
          <w:szCs w:val="72"/>
          <w:lang w:eastAsia="zh-CN"/>
        </w:rPr>
        <w:t>册</w:t>
      </w:r>
      <w:bookmarkEnd w:id="10"/>
    </w:p>
    <w:p w14:paraId="42B8632F">
      <w:pPr>
        <w:pStyle w:val="6"/>
        <w:ind w:firstLine="1044"/>
        <w:rPr>
          <w:rFonts w:hint="eastAsia" w:ascii="黑体" w:hAnsi="黑体" w:eastAsia="黑体" w:cs="黑体"/>
          <w:b/>
          <w:sz w:val="52"/>
          <w:szCs w:val="52"/>
          <w:lang w:eastAsia="zh-CN"/>
        </w:rPr>
      </w:pPr>
    </w:p>
    <w:p w14:paraId="36C1DCF7">
      <w:pPr>
        <w:pStyle w:val="6"/>
        <w:ind w:firstLine="1044"/>
        <w:rPr>
          <w:rFonts w:hint="eastAsia" w:ascii="黑体" w:hAnsi="黑体" w:eastAsia="黑体" w:cs="黑体"/>
          <w:b/>
          <w:sz w:val="52"/>
          <w:szCs w:val="52"/>
          <w:lang w:eastAsia="zh-CN"/>
        </w:rPr>
      </w:pPr>
    </w:p>
    <w:p w14:paraId="4646AFDE">
      <w:pPr>
        <w:pStyle w:val="6"/>
        <w:ind w:firstLine="1044"/>
        <w:rPr>
          <w:rFonts w:hint="eastAsia" w:ascii="黑体" w:hAnsi="黑体" w:eastAsia="黑体" w:cs="黑体"/>
          <w:b/>
          <w:sz w:val="52"/>
          <w:szCs w:val="52"/>
          <w:lang w:eastAsia="zh-CN"/>
        </w:rPr>
      </w:pPr>
    </w:p>
    <w:p w14:paraId="44F80D54">
      <w:r>
        <w:br w:type="page"/>
      </w:r>
    </w:p>
    <w:p w14:paraId="348FE287">
      <w:pPr>
        <w:pStyle w:val="2"/>
        <w:numPr>
          <w:ilvl w:val="0"/>
          <w:numId w:val="0"/>
        </w:numPr>
        <w:ind w:left="0" w:leftChars="0" w:firstLine="640" w:firstLineChars="200"/>
        <w:rPr>
          <w:rFonts w:hint="eastAsia"/>
        </w:rPr>
      </w:pPr>
      <w:r>
        <w:rPr>
          <w:rFonts w:hint="eastAsia" w:ascii="Arial" w:hAnsi="Arial" w:eastAsia="黑体" w:cs="Arial"/>
          <w:snapToGrid w:val="0"/>
          <w:color w:val="000000"/>
          <w:kern w:val="44"/>
          <w:sz w:val="32"/>
          <w:szCs w:val="21"/>
          <w:lang w:val="en-US" w:eastAsia="en-US" w:bidi="ar-SA"/>
        </w:rPr>
        <w:t>一、</w:t>
      </w:r>
      <w:r>
        <w:t>系统环境</w:t>
      </w:r>
      <w:bookmarkEnd w:id="0"/>
      <w:bookmarkEnd w:id="1"/>
      <w:bookmarkEnd w:id="2"/>
    </w:p>
    <w:p w14:paraId="0EF213E9">
      <w:pPr>
        <w:ind w:firstLine="560"/>
        <w:rPr>
          <w:lang w:eastAsia="zh-CN"/>
        </w:rPr>
      </w:pPr>
      <w:r>
        <w:rPr>
          <w:lang w:eastAsia="zh-CN"/>
        </w:rPr>
        <w:t>操作系统：Windows 系统。</w:t>
      </w:r>
    </w:p>
    <w:p w14:paraId="77F29454">
      <w:pPr>
        <w:ind w:firstLine="560"/>
        <w:rPr>
          <w:lang w:eastAsia="zh-CN"/>
        </w:rPr>
      </w:pPr>
      <w:r>
        <w:rPr>
          <w:lang w:eastAsia="zh-CN"/>
        </w:rPr>
        <w:t>浏览器版本：谷歌、360极速模式。</w:t>
      </w:r>
    </w:p>
    <w:p w14:paraId="30314DAF">
      <w:pPr>
        <w:ind w:firstLine="560"/>
        <w:rPr>
          <w:lang w:eastAsia="zh-CN"/>
        </w:rPr>
      </w:pPr>
      <w:r>
        <w:rPr>
          <w:lang w:eastAsia="zh-CN"/>
        </w:rPr>
        <w:t>显示器分辨率：建议1600*900及以上。</w:t>
      </w:r>
    </w:p>
    <w:bookmarkEnd w:id="3"/>
    <w:bookmarkEnd w:id="4"/>
    <w:bookmarkEnd w:id="5"/>
    <w:bookmarkEnd w:id="6"/>
    <w:bookmarkEnd w:id="7"/>
    <w:bookmarkEnd w:id="8"/>
    <w:p w14:paraId="6E7DED17">
      <w:pPr>
        <w:pStyle w:val="2"/>
        <w:numPr>
          <w:ilvl w:val="0"/>
          <w:numId w:val="0"/>
        </w:numPr>
        <w:ind w:left="0" w:leftChars="0" w:firstLine="640" w:firstLineChars="200"/>
      </w:pPr>
      <w:bookmarkStart w:id="11" w:name="_Toc55228938"/>
      <w:bookmarkStart w:id="12" w:name="_Toc61437594"/>
      <w:bookmarkStart w:id="13" w:name="_Toc55227665"/>
      <w:bookmarkStart w:id="14" w:name="_Toc208502704"/>
      <w:bookmarkStart w:id="15" w:name="_Toc69695268"/>
      <w:bookmarkStart w:id="16" w:name="_Toc57365749"/>
      <w:bookmarkStart w:id="17" w:name="_Toc55921469"/>
      <w:bookmarkStart w:id="18" w:name="_Toc55805344"/>
      <w:bookmarkStart w:id="19" w:name="_Toc1540"/>
      <w:r>
        <w:rPr>
          <w:rFonts w:hint="eastAsia" w:ascii="Arial" w:hAnsi="Arial" w:eastAsia="黑体" w:cs="Arial"/>
          <w:snapToGrid w:val="0"/>
          <w:color w:val="000000"/>
          <w:kern w:val="44"/>
          <w:sz w:val="32"/>
          <w:szCs w:val="21"/>
          <w:lang w:val="en-US" w:eastAsia="en-US" w:bidi="ar-SA"/>
        </w:rPr>
        <w:t>二、</w:t>
      </w:r>
      <w:r>
        <w:t>登录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</w:p>
    <w:p w14:paraId="6FFD863C">
      <w:pPr>
        <w:pStyle w:val="15"/>
        <w:widowControl/>
        <w:spacing w:line="500" w:lineRule="exact"/>
        <w:ind w:left="0" w:firstLine="560"/>
        <w:rPr>
          <w:rFonts w:ascii="仿宋_GB2312" w:eastAsia="仿宋_GB2312" w:cs="仿宋_GB2312"/>
          <w:sz w:val="28"/>
          <w:szCs w:val="28"/>
        </w:rPr>
      </w:pPr>
      <w:r>
        <w:rPr>
          <w:rFonts w:hint="default" w:ascii="仿宋_GB2312" w:eastAsia="仿宋_GB2312" w:cs="仿宋_GB2312"/>
          <w:sz w:val="28"/>
          <w:szCs w:val="28"/>
        </w:rPr>
        <w:t>在浏览器输入湖北省药品监督管理局网址：https://mpa.hubei.gov.cn/，点击网站下方</w:t>
      </w:r>
      <w:r>
        <w:rPr>
          <w:rFonts w:hint="eastAsia" w:ascii="仿宋_GB2312" w:eastAsia="仿宋_GB2312" w:cs="仿宋_GB2312"/>
          <w:sz w:val="28"/>
          <w:szCs w:val="28"/>
          <w:lang w:eastAsia="zh-CN"/>
        </w:rPr>
        <w:t>“</w:t>
      </w:r>
      <w:r>
        <w:rPr>
          <w:rFonts w:hint="default" w:ascii="仿宋_GB2312" w:eastAsia="仿宋_GB2312" w:cs="仿宋_GB2312"/>
          <w:sz w:val="28"/>
          <w:szCs w:val="28"/>
        </w:rPr>
        <w:t>信息化业务平台（企业端）</w:t>
      </w:r>
      <w:r>
        <w:rPr>
          <w:rFonts w:hint="eastAsia" w:ascii="仿宋_GB2312" w:eastAsia="仿宋_GB2312" w:cs="仿宋_GB2312"/>
          <w:sz w:val="28"/>
          <w:szCs w:val="28"/>
          <w:lang w:eastAsia="zh-CN"/>
        </w:rPr>
        <w:t>”</w:t>
      </w:r>
      <w:r>
        <w:rPr>
          <w:rFonts w:hint="default" w:ascii="仿宋_GB2312" w:eastAsia="仿宋_GB2312" w:cs="仿宋_GB2312"/>
          <w:sz w:val="28"/>
          <w:szCs w:val="28"/>
        </w:rPr>
        <w:t>，跳转</w:t>
      </w:r>
      <w:r>
        <w:rPr>
          <w:rFonts w:hint="eastAsia" w:ascii="仿宋_GB2312" w:eastAsia="仿宋_GB2312" w:cs="仿宋_GB2312"/>
          <w:sz w:val="28"/>
          <w:szCs w:val="28"/>
          <w:lang w:val="en-US" w:eastAsia="zh-CN"/>
        </w:rPr>
        <w:t>至</w:t>
      </w:r>
      <w:r>
        <w:rPr>
          <w:rFonts w:hint="default" w:ascii="仿宋_GB2312" w:eastAsia="仿宋_GB2312" w:cs="仿宋_GB2312"/>
          <w:sz w:val="28"/>
          <w:szCs w:val="28"/>
        </w:rPr>
        <w:t>湖北省药品监督管理局业务平台页面，</w:t>
      </w:r>
      <w:r>
        <w:rPr>
          <w:rFonts w:hint="eastAsia" w:ascii="仿宋_GB2312" w:eastAsia="仿宋_GB2312" w:cs="仿宋_GB2312"/>
          <w:sz w:val="28"/>
          <w:szCs w:val="28"/>
          <w:lang w:val="en-US" w:eastAsia="zh-CN"/>
        </w:rPr>
        <w:t>在</w:t>
      </w:r>
      <w:r>
        <w:rPr>
          <w:rFonts w:hint="default" w:ascii="仿宋_GB2312" w:eastAsia="仿宋_GB2312" w:cs="仿宋_GB2312"/>
          <w:sz w:val="28"/>
          <w:szCs w:val="28"/>
        </w:rPr>
        <w:t>登录页面输入账号密码完成登录</w:t>
      </w:r>
      <w:r>
        <w:rPr>
          <w:rFonts w:ascii="仿宋_GB2312" w:eastAsia="仿宋_GB2312" w:cs="仿宋_GB2312"/>
          <w:sz w:val="28"/>
          <w:szCs w:val="28"/>
        </w:rPr>
        <w:t>。登录成功后，</w:t>
      </w:r>
      <w:r>
        <w:rPr>
          <w:rFonts w:hint="default" w:ascii="仿宋_GB2312" w:eastAsia="仿宋_GB2312" w:cs="仿宋_GB2312"/>
          <w:sz w:val="28"/>
          <w:szCs w:val="28"/>
        </w:rPr>
        <w:t>点击图中器械数据报送下的“立即填报”按钮，再在页面中点击“</w:t>
      </w:r>
      <w:r>
        <w:rPr>
          <w:rFonts w:ascii="仿宋_GB2312" w:eastAsia="仿宋_GB2312" w:cs="仿宋_GB2312"/>
          <w:sz w:val="28"/>
          <w:szCs w:val="28"/>
        </w:rPr>
        <w:t>在研产品登记</w:t>
      </w:r>
      <w:r>
        <w:rPr>
          <w:rFonts w:hint="default" w:ascii="仿宋_GB2312" w:eastAsia="仿宋_GB2312" w:cs="仿宋_GB2312"/>
          <w:sz w:val="28"/>
          <w:szCs w:val="28"/>
        </w:rPr>
        <w:t>”按钮，如图2-1所示。</w:t>
      </w:r>
    </w:p>
    <w:p w14:paraId="6C13A7CD">
      <w:pPr>
        <w:ind w:firstLine="0" w:firstLineChars="0"/>
      </w:pPr>
      <w:r>
        <w:drawing>
          <wp:inline distT="0" distB="0" distL="114300" distR="114300">
            <wp:extent cx="5266690" cy="2506980"/>
            <wp:effectExtent l="0" t="0" r="10160" b="762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954FD">
      <w:pPr>
        <w:ind w:firstLine="560"/>
      </w:pPr>
    </w:p>
    <w:p w14:paraId="6BDE4EF1">
      <w:pPr>
        <w:ind w:firstLine="560"/>
      </w:pPr>
      <w:r>
        <w:drawing>
          <wp:inline distT="0" distB="0" distL="114300" distR="114300">
            <wp:extent cx="5266690" cy="2506980"/>
            <wp:effectExtent l="0" t="0" r="10160" b="762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75602">
      <w:pPr>
        <w:ind w:firstLine="560"/>
      </w:pPr>
    </w:p>
    <w:p w14:paraId="44FB5847">
      <w:pPr>
        <w:ind w:firstLine="560"/>
      </w:pPr>
    </w:p>
    <w:p w14:paraId="7976758E">
      <w:pPr>
        <w:ind w:firstLine="560"/>
      </w:pPr>
      <w:r>
        <w:drawing>
          <wp:inline distT="0" distB="0" distL="114300" distR="114300">
            <wp:extent cx="5272405" cy="2371725"/>
            <wp:effectExtent l="0" t="0" r="4445" b="952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8B9A7">
      <w:pPr>
        <w:ind w:firstLine="560"/>
      </w:pPr>
      <w:r>
        <w:drawing>
          <wp:inline distT="0" distB="0" distL="114300" distR="114300">
            <wp:extent cx="5273040" cy="2663825"/>
            <wp:effectExtent l="0" t="0" r="1016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71941">
      <w:pPr>
        <w:ind w:firstLine="560"/>
      </w:pPr>
      <w:r>
        <w:drawing>
          <wp:inline distT="0" distB="0" distL="114300" distR="114300">
            <wp:extent cx="5257800" cy="2790825"/>
            <wp:effectExtent l="0" t="0" r="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0A76F">
      <w:pPr>
        <w:ind w:firstLine="400"/>
        <w:jc w:val="center"/>
        <w:rPr>
          <w:rFonts w:eastAsia="微软雅黑"/>
          <w:sz w:val="20"/>
        </w:rPr>
      </w:pPr>
    </w:p>
    <w:p w14:paraId="1044187B">
      <w:pPr>
        <w:ind w:firstLine="560"/>
        <w:jc w:val="center"/>
        <w:rPr>
          <w:szCs w:val="20"/>
          <w:lang w:eastAsia="zh-CN"/>
        </w:rPr>
      </w:pPr>
      <w:r>
        <w:rPr>
          <w:szCs w:val="20"/>
          <w:lang w:eastAsia="zh-CN"/>
        </w:rPr>
        <w:t>图2-1</w:t>
      </w:r>
      <w:r>
        <w:rPr>
          <w:rFonts w:hint="eastAsia"/>
          <w:szCs w:val="20"/>
          <w:lang w:eastAsia="zh-CN"/>
        </w:rPr>
        <w:t>湖北省业务平台企业端</w:t>
      </w:r>
      <w:r>
        <w:rPr>
          <w:szCs w:val="20"/>
          <w:lang w:eastAsia="zh-CN"/>
        </w:rPr>
        <w:t>登录页面</w:t>
      </w:r>
    </w:p>
    <w:p w14:paraId="1F6BE148">
      <w:pPr>
        <w:pStyle w:val="6"/>
        <w:ind w:firstLine="380"/>
        <w:rPr>
          <w:rFonts w:hint="eastAsia"/>
          <w:lang w:eastAsia="zh-CN"/>
        </w:rPr>
      </w:pPr>
    </w:p>
    <w:p w14:paraId="08AE3C49">
      <w:pPr>
        <w:pStyle w:val="2"/>
        <w:numPr>
          <w:ilvl w:val="0"/>
          <w:numId w:val="0"/>
        </w:numPr>
        <w:ind w:left="0" w:leftChars="0" w:firstLine="640" w:firstLineChars="200"/>
        <w:rPr>
          <w:rFonts w:hint="eastAsia" w:ascii="仿宋" w:hAnsi="仿宋" w:eastAsia="仿宋_GB2312" w:cs="仿宋"/>
          <w:kern w:val="0"/>
          <w:lang w:eastAsia="zh-CN"/>
        </w:rPr>
      </w:pPr>
      <w:r>
        <w:rPr>
          <w:rFonts w:hint="eastAsia"/>
          <w:szCs w:val="20"/>
          <w:lang w:eastAsia="zh-CN"/>
        </w:rPr>
        <w:br w:type="page"/>
      </w:r>
      <w:r>
        <w:rPr>
          <w:rFonts w:hint="eastAsia"/>
          <w:szCs w:val="20"/>
          <w:lang w:val="en-US" w:eastAsia="zh-CN"/>
        </w:rPr>
        <w:t>三、</w:t>
      </w:r>
      <w:r>
        <w:rPr>
          <w:rFonts w:hint="eastAsia"/>
          <w:lang w:eastAsia="zh-CN"/>
        </w:rPr>
        <w:t>填报流程</w:t>
      </w:r>
    </w:p>
    <w:p w14:paraId="1F4B67AE">
      <w:pPr>
        <w:pStyle w:val="3"/>
        <w:numPr>
          <w:ilvl w:val="0"/>
          <w:numId w:val="0"/>
        </w:numPr>
        <w:ind w:left="0" w:leftChars="0" w:firstLine="640" w:firstLineChars="200"/>
        <w:rPr>
          <w:lang w:eastAsia="zh-CN"/>
        </w:rPr>
      </w:pPr>
      <w:r>
        <w:rPr>
          <w:rFonts w:hint="eastAsia" w:ascii="Arial" w:hAnsi="Arial" w:eastAsia="楷体" w:cs="Arial"/>
          <w:snapToGrid w:val="0"/>
          <w:color w:val="000000"/>
          <w:sz w:val="32"/>
          <w:szCs w:val="21"/>
          <w:lang w:val="en-US" w:eastAsia="zh-CN" w:bidi="ar-SA"/>
        </w:rPr>
        <w:t>（一）</w:t>
      </w:r>
      <w:r>
        <w:rPr>
          <w:rFonts w:hint="eastAsia"/>
          <w:lang w:eastAsia="zh-CN"/>
        </w:rPr>
        <w:t>在研产品新增</w:t>
      </w:r>
    </w:p>
    <w:p w14:paraId="2AD549AA">
      <w:pPr>
        <w:ind w:firstLine="560"/>
        <w:rPr>
          <w:lang w:eastAsia="zh-CN"/>
        </w:rPr>
      </w:pPr>
      <w:r>
        <w:rPr>
          <w:rFonts w:hint="eastAsia"/>
          <w:lang w:eastAsia="zh-CN"/>
        </w:rPr>
        <w:t>登录成功后，进入在研产品列表页，当前页面可以查看下方</w:t>
      </w:r>
      <w:r>
        <w:rPr>
          <w:rFonts w:hint="eastAsia"/>
          <w:lang w:val="en-US" w:eastAsia="zh-CN"/>
        </w:rPr>
        <w:t>已</w:t>
      </w:r>
      <w:r>
        <w:rPr>
          <w:rFonts w:hint="eastAsia"/>
          <w:lang w:eastAsia="zh-CN"/>
        </w:rPr>
        <w:t>填报的在研产品信息，点击“新增”按钮，跳转到需要新增在研产品页面进行填报，如图3-1所示。</w:t>
      </w:r>
    </w:p>
    <w:p w14:paraId="5377D539">
      <w:pPr>
        <w:pStyle w:val="3"/>
        <w:numPr>
          <w:ilvl w:val="0"/>
          <w:numId w:val="0"/>
        </w:numPr>
        <w:ind w:left="0" w:leftChars="0" w:firstLine="640" w:firstLineChars="200"/>
        <w:rPr>
          <w:lang w:eastAsia="zh-CN"/>
        </w:rPr>
      </w:pPr>
      <w:r>
        <w:rPr>
          <w:rFonts w:hint="eastAsia" w:ascii="Arial" w:hAnsi="Arial" w:eastAsia="楷体" w:cs="Arial"/>
          <w:snapToGrid w:val="0"/>
          <w:color w:val="000000"/>
          <w:sz w:val="32"/>
          <w:szCs w:val="21"/>
          <w:lang w:val="en-US" w:eastAsia="zh-CN" w:bidi="ar-SA"/>
        </w:rPr>
        <w:t>（二）</w:t>
      </w:r>
      <w:r>
        <w:rPr>
          <w:rFonts w:hint="eastAsia"/>
          <w:lang w:eastAsia="zh-CN"/>
        </w:rPr>
        <w:t>在研产品表单提交或暂存</w:t>
      </w:r>
    </w:p>
    <w:p w14:paraId="657842D5">
      <w:pPr>
        <w:ind w:firstLine="420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表单右上方有“暂存”、“提交”按钮，如图3-2所示。需要注意的是，暂存的数据不会生成受理编号，</w:t>
      </w:r>
      <w:r>
        <w:rPr>
          <w:rFonts w:hint="eastAsia"/>
          <w:lang w:val="en-US" w:eastAsia="zh-CN"/>
        </w:rPr>
        <w:t>确认</w:t>
      </w:r>
      <w:r>
        <w:rPr>
          <w:rFonts w:hint="eastAsia"/>
          <w:lang w:eastAsia="zh-CN"/>
        </w:rPr>
        <w:t>提交的数据</w:t>
      </w:r>
      <w:r>
        <w:rPr>
          <w:rFonts w:hint="eastAsia"/>
          <w:lang w:val="en-US" w:eastAsia="zh-CN"/>
        </w:rPr>
        <w:t>才</w:t>
      </w:r>
      <w:r>
        <w:rPr>
          <w:rFonts w:hint="eastAsia"/>
          <w:lang w:eastAsia="zh-CN"/>
        </w:rPr>
        <w:t>会生成受理编号，如图3-3所示。</w:t>
      </w:r>
    </w:p>
    <w:p w14:paraId="3DC4D03D">
      <w:pPr>
        <w:ind w:firstLine="420" w:firstLineChars="0"/>
        <w:rPr>
          <w:lang w:eastAsia="zh-CN"/>
        </w:rPr>
      </w:pPr>
      <w:r>
        <w:rPr>
          <w:rFonts w:hint="eastAsia"/>
          <w:lang w:eastAsia="zh-CN"/>
        </w:rPr>
        <w:t>“暂存”无校验，随时可以暂存，如果觉得暂存的数据需要更改，则点击暂存数据后面的“编辑”按钮，更改后再回到在研产品列表页提交即可。</w:t>
      </w:r>
    </w:p>
    <w:p w14:paraId="0E9CF4ED">
      <w:pPr>
        <w:ind w:firstLine="420" w:firstLineChars="0"/>
        <w:rPr>
          <w:lang w:eastAsia="zh-CN"/>
        </w:rPr>
      </w:pPr>
      <w:r>
        <w:rPr>
          <w:rFonts w:hint="eastAsia"/>
          <w:lang w:eastAsia="zh-CN"/>
        </w:rPr>
        <w:t>“提交”按钮有校验，页面必填项都填写完才可提交。</w:t>
      </w:r>
      <w:r>
        <w:rPr>
          <w:rFonts w:hint="eastAsia"/>
          <w:lang w:val="en-US" w:eastAsia="zh-CN"/>
        </w:rPr>
        <w:t>对于附件上传</w:t>
      </w:r>
      <w:r>
        <w:rPr>
          <w:rFonts w:hint="eastAsia"/>
          <w:lang w:eastAsia="zh-CN"/>
        </w:rPr>
        <w:t>，表单下方有“上传核心专利附件”按钮，必须点击按钮上传核心专利附件才能进行提交，</w:t>
      </w:r>
      <w:r>
        <w:rPr>
          <w:rFonts w:hint="eastAsia"/>
          <w:lang w:val="en-US" w:eastAsia="zh-CN"/>
        </w:rPr>
        <w:t>请确保</w:t>
      </w:r>
      <w:r>
        <w:rPr>
          <w:rFonts w:hint="eastAsia"/>
          <w:lang w:eastAsia="zh-CN"/>
        </w:rPr>
        <w:t>提交前</w:t>
      </w:r>
      <w:r>
        <w:rPr>
          <w:rFonts w:hint="eastAsia"/>
          <w:lang w:val="en-US" w:eastAsia="zh-CN"/>
        </w:rPr>
        <w:t>各项</w:t>
      </w:r>
      <w:r>
        <w:rPr>
          <w:rFonts w:hint="eastAsia"/>
          <w:lang w:eastAsia="zh-CN"/>
        </w:rPr>
        <w:t>信息（</w:t>
      </w:r>
      <w:r>
        <w:rPr>
          <w:rFonts w:hint="eastAsia"/>
          <w:lang w:val="en-US" w:eastAsia="zh-CN"/>
        </w:rPr>
        <w:t>含附件</w:t>
      </w:r>
      <w:r>
        <w:rPr>
          <w:rFonts w:hint="eastAsia"/>
          <w:lang w:eastAsia="zh-CN"/>
        </w:rPr>
        <w:t>）都填写正确。</w:t>
      </w:r>
    </w:p>
    <w:p w14:paraId="0AABD702">
      <w:pPr>
        <w:ind w:firstLine="420" w:firstLineChars="0"/>
        <w:rPr>
          <w:lang w:eastAsia="zh-CN"/>
        </w:rPr>
      </w:pPr>
      <w:r>
        <w:rPr>
          <w:rFonts w:hint="eastAsia"/>
          <w:lang w:eastAsia="zh-CN"/>
        </w:rPr>
        <w:t>暂存后的数据如果需要提交，可在在研产品列表页后点击“提交”即可提交数据给监管人员，如图3-4所示。</w:t>
      </w:r>
    </w:p>
    <w:p w14:paraId="7D6413DB">
      <w:pPr>
        <w:pStyle w:val="3"/>
        <w:numPr>
          <w:ilvl w:val="0"/>
          <w:numId w:val="0"/>
        </w:numPr>
        <w:ind w:left="0" w:leftChars="0" w:firstLine="640" w:firstLineChars="200"/>
        <w:rPr>
          <w:lang w:eastAsia="zh-CN"/>
        </w:rPr>
      </w:pPr>
      <w:r>
        <w:rPr>
          <w:rFonts w:hint="eastAsia" w:ascii="Arial" w:hAnsi="Arial" w:eastAsia="楷体" w:cs="Arial"/>
          <w:snapToGrid w:val="0"/>
          <w:color w:val="000000"/>
          <w:sz w:val="32"/>
          <w:szCs w:val="21"/>
          <w:lang w:val="en-US" w:eastAsia="zh-CN" w:bidi="ar-SA"/>
        </w:rPr>
        <w:t>（三）</w:t>
      </w:r>
      <w:r>
        <w:rPr>
          <w:rFonts w:hint="eastAsia" w:cs="Arial"/>
          <w:snapToGrid w:val="0"/>
          <w:color w:val="000000"/>
          <w:sz w:val="32"/>
          <w:szCs w:val="21"/>
          <w:lang w:val="en-US" w:eastAsia="zh-CN" w:bidi="ar-SA"/>
        </w:rPr>
        <w:t>新增</w:t>
      </w:r>
      <w:r>
        <w:rPr>
          <w:rFonts w:hint="eastAsia"/>
          <w:lang w:eastAsia="zh-CN"/>
        </w:rPr>
        <w:t>在研</w:t>
      </w:r>
      <w:r>
        <w:rPr>
          <w:rFonts w:hint="eastAsia"/>
          <w:lang w:val="en-US" w:eastAsia="zh-CN"/>
        </w:rPr>
        <w:t>产品咨询</w:t>
      </w:r>
    </w:p>
    <w:p w14:paraId="035AB83E">
      <w:pPr>
        <w:ind w:firstLine="560"/>
        <w:rPr>
          <w:lang w:eastAsia="zh-CN"/>
        </w:rPr>
      </w:pPr>
      <w:r>
        <w:rPr>
          <w:rFonts w:hint="eastAsia"/>
          <w:lang w:eastAsia="zh-CN"/>
        </w:rPr>
        <w:t>新增在研产品并</w:t>
      </w:r>
      <w:r>
        <w:rPr>
          <w:rFonts w:hint="eastAsia"/>
          <w:lang w:val="en-US" w:eastAsia="zh-CN"/>
        </w:rPr>
        <w:t>成功</w:t>
      </w:r>
      <w:r>
        <w:rPr>
          <w:rFonts w:hint="eastAsia"/>
          <w:lang w:eastAsia="zh-CN"/>
        </w:rPr>
        <w:t>提交之后，可对该产品新增咨询。在研产品列表页的操作项后有“咨询”按钮，点击即可新增咨询，如图3-5所示。</w:t>
      </w:r>
    </w:p>
    <w:p w14:paraId="4A5AC36B">
      <w:pPr>
        <w:ind w:firstLine="560"/>
        <w:rPr>
          <w:lang w:eastAsia="zh-CN"/>
        </w:rPr>
      </w:pPr>
      <w:r>
        <w:rPr>
          <w:rFonts w:hint="eastAsia"/>
          <w:lang w:eastAsia="zh-CN"/>
        </w:rPr>
        <w:t>填写了咨询信息后，可</w:t>
      </w:r>
      <w:r>
        <w:rPr>
          <w:rFonts w:hint="eastAsia"/>
          <w:lang w:val="en-US" w:eastAsia="zh-CN"/>
        </w:rPr>
        <w:t>依实际情况</w:t>
      </w:r>
      <w:r>
        <w:rPr>
          <w:rFonts w:hint="eastAsia"/>
          <w:lang w:eastAsia="zh-CN"/>
        </w:rPr>
        <w:t>选择上传附件（非必填选项），填写完咨询信息后点击右上角“提交咨询”按钮即可完成提交，如图3-6所示。</w:t>
      </w:r>
    </w:p>
    <w:p w14:paraId="1707AFBF">
      <w:pPr>
        <w:ind w:firstLine="560"/>
        <w:rPr>
          <w:lang w:eastAsia="zh-CN"/>
        </w:rPr>
      </w:pPr>
      <w:r>
        <w:rPr>
          <w:rFonts w:hint="eastAsia"/>
          <w:lang w:eastAsia="zh-CN"/>
        </w:rPr>
        <w:t>对于已提交的诉求可在在研产品列表页点击“详情”按钮，最下方有已提交的咨询内容，如图3-7所示。可多次进行咨询，图3-7示例为进行了三次咨询。</w:t>
      </w:r>
    </w:p>
    <w:p w14:paraId="1CEDFDFE">
      <w:pPr>
        <w:pStyle w:val="3"/>
        <w:numPr>
          <w:ilvl w:val="0"/>
          <w:numId w:val="0"/>
        </w:numPr>
        <w:ind w:left="0" w:leftChars="0" w:firstLine="640" w:firstLineChars="200"/>
        <w:rPr>
          <w:lang w:eastAsia="zh-CN"/>
        </w:rPr>
      </w:pPr>
      <w:r>
        <w:rPr>
          <w:rFonts w:hint="eastAsia" w:ascii="Arial" w:hAnsi="Arial" w:eastAsia="楷体" w:cs="Arial"/>
          <w:snapToGrid w:val="0"/>
          <w:color w:val="000000"/>
          <w:sz w:val="32"/>
          <w:szCs w:val="21"/>
          <w:lang w:val="en-US" w:eastAsia="zh-CN" w:bidi="ar-SA"/>
        </w:rPr>
        <w:t>（四）</w:t>
      </w:r>
      <w:r>
        <w:rPr>
          <w:rFonts w:hint="eastAsia" w:cs="Arial"/>
          <w:snapToGrid w:val="0"/>
          <w:color w:val="000000"/>
          <w:sz w:val="32"/>
          <w:szCs w:val="21"/>
          <w:lang w:val="en-US" w:eastAsia="zh-CN" w:bidi="ar-SA"/>
        </w:rPr>
        <w:t>咨询</w:t>
      </w:r>
      <w:r>
        <w:rPr>
          <w:rFonts w:hint="eastAsia"/>
          <w:lang w:eastAsia="zh-CN"/>
        </w:rPr>
        <w:t>诉求回复查看</w:t>
      </w:r>
    </w:p>
    <w:p w14:paraId="7135B750">
      <w:pPr>
        <w:ind w:firstLine="560"/>
        <w:rPr>
          <w:lang w:eastAsia="zh-CN"/>
        </w:rPr>
      </w:pPr>
      <w:r>
        <w:rPr>
          <w:rFonts w:hint="eastAsia"/>
          <w:lang w:eastAsia="zh-CN"/>
        </w:rPr>
        <w:t>对提交的诉求，监管人员会对其进行回复，</w:t>
      </w:r>
      <w:r>
        <w:rPr>
          <w:rFonts w:hint="eastAsia"/>
          <w:lang w:val="en-US" w:eastAsia="zh-CN"/>
        </w:rPr>
        <w:t>成功</w:t>
      </w:r>
      <w:r>
        <w:rPr>
          <w:rFonts w:hint="eastAsia"/>
          <w:lang w:eastAsia="zh-CN"/>
        </w:rPr>
        <w:t>回复后，</w:t>
      </w:r>
      <w:r>
        <w:rPr>
          <w:rFonts w:hint="eastAsia"/>
          <w:lang w:val="en-US" w:eastAsia="zh-CN"/>
        </w:rPr>
        <w:t>系统将</w:t>
      </w:r>
      <w:r>
        <w:rPr>
          <w:rFonts w:hint="eastAsia"/>
          <w:lang w:eastAsia="zh-CN"/>
        </w:rPr>
        <w:t>进行短信提示。</w:t>
      </w:r>
      <w:r>
        <w:rPr>
          <w:rFonts w:hint="eastAsia"/>
          <w:lang w:val="en-US" w:eastAsia="zh-CN"/>
        </w:rPr>
        <w:t>咨询单位</w:t>
      </w:r>
      <w:r>
        <w:rPr>
          <w:rFonts w:hint="eastAsia"/>
          <w:lang w:eastAsia="zh-CN"/>
        </w:rPr>
        <w:t>可登录企业端进入在研产品列表页，点击操作列的“查看”按钮，在下方可以看到对于某条咨询的具体回复内容，如图3-8所示。</w:t>
      </w:r>
    </w:p>
    <w:p w14:paraId="34C66130">
      <w:pPr>
        <w:pStyle w:val="3"/>
        <w:numPr>
          <w:ilvl w:val="0"/>
          <w:numId w:val="0"/>
        </w:numPr>
        <w:ind w:left="0" w:leftChars="0" w:firstLine="640" w:firstLineChars="200"/>
        <w:rPr>
          <w:lang w:eastAsia="zh-CN"/>
        </w:rPr>
      </w:pPr>
      <w:r>
        <w:rPr>
          <w:rFonts w:hint="eastAsia" w:ascii="Arial" w:hAnsi="Arial" w:eastAsia="楷体" w:cs="Arial"/>
          <w:snapToGrid w:val="0"/>
          <w:color w:val="000000"/>
          <w:sz w:val="32"/>
          <w:szCs w:val="21"/>
          <w:lang w:val="en-US" w:eastAsia="zh-CN" w:bidi="ar-SA"/>
        </w:rPr>
        <w:t>（五）</w:t>
      </w:r>
      <w:r>
        <w:rPr>
          <w:rFonts w:hint="eastAsia"/>
          <w:lang w:eastAsia="zh-CN"/>
        </w:rPr>
        <w:t>企业在研产品申请退出</w:t>
      </w:r>
    </w:p>
    <w:p w14:paraId="398B4248">
      <w:pPr>
        <w:ind w:firstLine="560"/>
        <w:rPr>
          <w:lang w:eastAsia="zh-CN"/>
        </w:rPr>
      </w:pPr>
      <w:r>
        <w:rPr>
          <w:rFonts w:hint="eastAsia"/>
          <w:lang w:eastAsia="zh-CN"/>
        </w:rPr>
        <w:t>对于已提交咨询的在研产品，后方操作项为“查看、咨询、申请退出”。</w:t>
      </w:r>
      <w:r>
        <w:rPr>
          <w:rFonts w:hint="eastAsia"/>
          <w:lang w:val="en-US" w:eastAsia="zh-CN"/>
        </w:rPr>
        <w:t>对于长期（6个月以上）无研发进展、研发计划中止、项目取消的，填报者</w:t>
      </w:r>
      <w:r>
        <w:rPr>
          <w:rFonts w:hint="eastAsia"/>
          <w:lang w:eastAsia="zh-CN"/>
        </w:rPr>
        <w:t>可</w:t>
      </w:r>
      <w:r>
        <w:rPr>
          <w:rFonts w:hint="eastAsia"/>
          <w:lang w:val="en-US" w:eastAsia="zh-CN"/>
        </w:rPr>
        <w:t>申请</w:t>
      </w:r>
      <w:r>
        <w:rPr>
          <w:rFonts w:hint="eastAsia"/>
          <w:lang w:eastAsia="zh-CN"/>
        </w:rPr>
        <w:t>终止</w:t>
      </w:r>
      <w:r>
        <w:rPr>
          <w:rFonts w:hint="eastAsia"/>
          <w:lang w:val="en-US" w:eastAsia="zh-CN"/>
        </w:rPr>
        <w:t>退出</w:t>
      </w:r>
      <w:r>
        <w:rPr>
          <w:rFonts w:hint="eastAsia"/>
          <w:lang w:eastAsia="zh-CN"/>
        </w:rPr>
        <w:t>服务。在列表页后方操作项点击“申请退出”按钮，如图3-9所示，填写了退出原因后，点击“提交申请”按钮即可退出，如图3-10所示。</w:t>
      </w:r>
    </w:p>
    <w:p w14:paraId="2E7AA7D0">
      <w:pPr>
        <w:ind w:firstLine="560"/>
        <w:rPr>
          <w:lang w:eastAsia="zh-CN"/>
        </w:rPr>
      </w:pPr>
    </w:p>
    <w:p w14:paraId="3284A05E">
      <w:pPr>
        <w:ind w:firstLine="560"/>
        <w:rPr>
          <w:lang w:eastAsia="zh-CN"/>
        </w:rPr>
      </w:pPr>
    </w:p>
    <w:p w14:paraId="25090CC4">
      <w:pPr>
        <w:pStyle w:val="3"/>
        <w:numPr>
          <w:ilvl w:val="0"/>
          <w:numId w:val="0"/>
        </w:numPr>
        <w:ind w:left="0" w:leftChars="0" w:firstLine="640" w:firstLineChars="200"/>
        <w:rPr>
          <w:lang w:eastAsia="zh-CN"/>
        </w:rPr>
      </w:pPr>
      <w:r>
        <w:rPr>
          <w:rFonts w:hint="eastAsia" w:ascii="Arial" w:hAnsi="Arial" w:eastAsia="楷体" w:cs="Arial"/>
          <w:snapToGrid w:val="0"/>
          <w:color w:val="000000"/>
          <w:sz w:val="32"/>
          <w:szCs w:val="21"/>
          <w:lang w:val="en-US" w:eastAsia="zh-CN" w:bidi="ar-SA"/>
        </w:rPr>
        <w:t>（六）</w:t>
      </w:r>
      <w:r>
        <w:rPr>
          <w:rFonts w:hint="eastAsia"/>
          <w:lang w:eastAsia="zh-CN"/>
        </w:rPr>
        <w:t>监管人员终止原因查看</w:t>
      </w:r>
    </w:p>
    <w:p w14:paraId="673B9424">
      <w:pPr>
        <w:ind w:firstLine="560"/>
        <w:rPr>
          <w:rFonts w:hint="eastAsia"/>
          <w:lang w:eastAsia="zh-CN"/>
        </w:rPr>
      </w:pPr>
      <w:r>
        <w:rPr>
          <w:rFonts w:hint="eastAsia"/>
          <w:lang w:eastAsia="zh-CN"/>
        </w:rPr>
        <w:t>对于已提交咨询的在研产品，</w:t>
      </w:r>
      <w:r>
        <w:rPr>
          <w:rFonts w:hint="eastAsia"/>
          <w:lang w:val="en-US" w:eastAsia="zh-CN"/>
        </w:rPr>
        <w:t>如产品经综合判定不属于医疗器械或问题与药品监管业务无关，</w:t>
      </w:r>
      <w:r>
        <w:rPr>
          <w:rFonts w:hint="eastAsia"/>
          <w:lang w:eastAsia="zh-CN"/>
        </w:rPr>
        <w:t>监管人员可对其进行“终止服务”操作，对于已经被终止服务的数据，在列表页操作项仅有“查看”</w:t>
      </w:r>
      <w:r>
        <w:rPr>
          <w:rFonts w:hint="eastAsia"/>
          <w:lang w:val="en-US" w:eastAsia="zh-CN"/>
        </w:rPr>
        <w:t>功能</w:t>
      </w:r>
      <w:r>
        <w:rPr>
          <w:rFonts w:hint="eastAsia"/>
          <w:lang w:eastAsia="zh-CN"/>
        </w:rPr>
        <w:t>，如图3-11所示，终止原因可点击“查看”</w:t>
      </w:r>
      <w:r>
        <w:rPr>
          <w:rFonts w:hint="eastAsia"/>
          <w:lang w:val="en-US" w:eastAsia="zh-CN"/>
        </w:rPr>
        <w:t>获取</w:t>
      </w:r>
      <w:r>
        <w:rPr>
          <w:rFonts w:hint="eastAsia"/>
          <w:lang w:eastAsia="zh-CN"/>
        </w:rPr>
        <w:t>，在详情页上方如图3-12位置可查看。</w:t>
      </w:r>
    </w:p>
    <w:p w14:paraId="427937D0">
      <w:pPr>
        <w:pStyle w:val="3"/>
        <w:numPr>
          <w:ilvl w:val="0"/>
          <w:numId w:val="0"/>
        </w:numPr>
        <w:bidi w:val="0"/>
        <w:ind w:left="0" w:leftChars="0" w:firstLine="640" w:firstLineChars="200"/>
        <w:rPr>
          <w:rFonts w:hint="default"/>
          <w:lang w:val="en-US" w:eastAsia="zh-CN"/>
        </w:rPr>
      </w:pPr>
      <w:r>
        <w:rPr>
          <w:rFonts w:hint="eastAsia" w:ascii="Arial" w:hAnsi="Arial" w:eastAsia="楷体" w:cs="Arial"/>
          <w:snapToGrid w:val="0"/>
          <w:color w:val="000000"/>
          <w:sz w:val="32"/>
          <w:szCs w:val="21"/>
          <w:lang w:val="en-US" w:eastAsia="zh-CN" w:bidi="ar-SA"/>
        </w:rPr>
        <w:t>（七）</w:t>
      </w:r>
      <w:r>
        <w:rPr>
          <w:rFonts w:hint="eastAsia"/>
          <w:lang w:val="en-US" w:eastAsia="zh-CN"/>
        </w:rPr>
        <w:t>咨询评价</w:t>
      </w:r>
    </w:p>
    <w:p w14:paraId="61A3F81F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对于已被回复的咨询，企业可对满意度进行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打分评价</w:t>
      </w:r>
      <w:r>
        <w:rPr>
          <w:rFonts w:hint="eastAsia"/>
          <w:lang w:eastAsia="zh-CN"/>
        </w:rPr>
        <w:t>”操作（</w:t>
      </w:r>
      <w:r>
        <w:rPr>
          <w:rFonts w:hint="eastAsia"/>
          <w:lang w:val="en-US" w:eastAsia="zh-CN"/>
        </w:rPr>
        <w:t>满分五颗星</w:t>
      </w:r>
      <w:r>
        <w:rPr>
          <w:rFonts w:hint="eastAsia"/>
          <w:lang w:eastAsia="zh-CN"/>
        </w:rPr>
        <w:t>），</w:t>
      </w:r>
      <w:r>
        <w:rPr>
          <w:rFonts w:hint="eastAsia"/>
          <w:lang w:val="en-US" w:eastAsia="zh-CN"/>
        </w:rPr>
        <w:t>如图3-13所示，直接点击即可。</w:t>
      </w:r>
    </w:p>
    <w:p w14:paraId="73AF1A38">
      <w:pPr>
        <w:pStyle w:val="2"/>
        <w:numPr>
          <w:ilvl w:val="0"/>
          <w:numId w:val="0"/>
        </w:numPr>
        <w:ind w:left="0" w:leftChars="0" w:firstLine="640" w:firstLineChars="200"/>
        <w:rPr>
          <w:lang w:eastAsia="zh-CN"/>
        </w:rPr>
      </w:pPr>
      <w:r>
        <w:rPr>
          <w:rFonts w:hint="eastAsia" w:ascii="Arial" w:hAnsi="Arial" w:eastAsia="黑体" w:cs="Arial"/>
          <w:snapToGrid w:val="0"/>
          <w:color w:val="000000"/>
          <w:kern w:val="44"/>
          <w:sz w:val="32"/>
          <w:szCs w:val="21"/>
          <w:lang w:val="en-US" w:eastAsia="zh-CN" w:bidi="ar-SA"/>
        </w:rPr>
        <w:t>四、</w:t>
      </w:r>
      <w:r>
        <w:rPr>
          <w:rFonts w:hint="eastAsia"/>
          <w:lang w:eastAsia="zh-CN"/>
        </w:rPr>
        <w:t>运维服务</w:t>
      </w:r>
    </w:p>
    <w:p w14:paraId="1F8DBAD3">
      <w:pPr>
        <w:widowControl w:val="0"/>
        <w:ind w:firstLine="560"/>
        <w:jc w:val="both"/>
        <w:rPr>
          <w:rFonts w:hint="default" w:ascii="仿宋_GB2312" w:cs="仿宋_GB2312"/>
          <w:szCs w:val="28"/>
          <w:lang w:val="en-US"/>
        </w:rPr>
      </w:pPr>
      <w:r>
        <w:rPr>
          <w:rFonts w:ascii="仿宋_GB2312" w:hAnsi="等线" w:cs="仿宋_GB2312"/>
          <w:kern w:val="2"/>
          <w:szCs w:val="28"/>
          <w:lang w:eastAsia="zh-CN" w:bidi="ar"/>
        </w:rPr>
        <w:t>运维联系人：蔡旭东</w:t>
      </w:r>
      <w:r>
        <w:rPr>
          <w:rFonts w:hint="eastAsia" w:ascii="仿宋_GB2312" w:hAnsi="等线" w:cs="仿宋_GB2312"/>
          <w:kern w:val="2"/>
          <w:szCs w:val="28"/>
          <w:lang w:val="en-US" w:eastAsia="zh-CN" w:bidi="ar"/>
        </w:rPr>
        <w:t>、王梦泽</w:t>
      </w:r>
    </w:p>
    <w:p w14:paraId="1B44FA76">
      <w:pPr>
        <w:widowControl w:val="0"/>
        <w:ind w:firstLine="560"/>
        <w:jc w:val="both"/>
        <w:rPr>
          <w:rFonts w:hint="default" w:ascii="仿宋_GB2312" w:hAnsi="等线" w:cs="仿宋_GB2312"/>
          <w:kern w:val="2"/>
          <w:szCs w:val="28"/>
          <w:lang w:val="en-US" w:eastAsia="zh-CN" w:bidi="ar"/>
        </w:rPr>
      </w:pPr>
      <w:r>
        <w:rPr>
          <w:rFonts w:ascii="仿宋_GB2312" w:hAnsi="等线" w:cs="仿宋_GB2312"/>
          <w:kern w:val="2"/>
          <w:szCs w:val="28"/>
          <w:lang w:eastAsia="zh-CN" w:bidi="ar"/>
        </w:rPr>
        <w:t>运维电话：1817113350</w:t>
      </w:r>
      <w:r>
        <w:rPr>
          <w:rFonts w:hint="eastAsia" w:ascii="仿宋_GB2312" w:hAnsi="等线" w:cs="仿宋_GB2312"/>
          <w:kern w:val="2"/>
          <w:szCs w:val="28"/>
          <w:lang w:eastAsia="zh-CN" w:bidi="ar"/>
        </w:rPr>
        <w:t>5</w:t>
      </w:r>
      <w:r>
        <w:rPr>
          <w:rFonts w:hint="eastAsia" w:ascii="仿宋_GB2312" w:hAnsi="等线" w:cs="仿宋_GB2312"/>
          <w:kern w:val="2"/>
          <w:szCs w:val="28"/>
          <w:lang w:val="en-US" w:eastAsia="zh-CN" w:bidi="ar"/>
        </w:rPr>
        <w:t>、17364511226</w:t>
      </w:r>
    </w:p>
    <w:p w14:paraId="499C757B">
      <w:pPr>
        <w:rPr>
          <w:rFonts w:hint="eastAsia" w:ascii="仿宋_GB2312" w:hAnsi="等线" w:cs="仿宋_GB2312"/>
          <w:kern w:val="2"/>
          <w:szCs w:val="28"/>
          <w:lang w:eastAsia="zh-CN" w:bidi="ar"/>
        </w:rPr>
      </w:pPr>
      <w:r>
        <w:rPr>
          <w:rFonts w:hint="eastAsia" w:ascii="仿宋_GB2312" w:hAnsi="等线" w:cs="仿宋_GB2312"/>
          <w:kern w:val="2"/>
          <w:szCs w:val="28"/>
          <w:lang w:eastAsia="zh-CN" w:bidi="ar"/>
        </w:rPr>
        <w:br w:type="page"/>
      </w:r>
    </w:p>
    <w:p w14:paraId="06F39543">
      <w:pPr>
        <w:pStyle w:val="2"/>
        <w:numPr>
          <w:ilvl w:val="0"/>
          <w:numId w:val="0"/>
        </w:numPr>
        <w:bidi w:val="0"/>
        <w:ind w:left="0" w:leftChars="0" w:firstLine="640" w:firstLineChars="200"/>
        <w:rPr>
          <w:rFonts w:hint="default"/>
          <w:lang w:val="en-US" w:eastAsia="zh-CN"/>
        </w:rPr>
      </w:pPr>
      <w:r>
        <w:rPr>
          <w:rFonts w:hint="eastAsia" w:ascii="Arial" w:hAnsi="Arial" w:eastAsia="黑体" w:cs="Arial"/>
          <w:snapToGrid w:val="0"/>
          <w:color w:val="000000"/>
          <w:kern w:val="44"/>
          <w:sz w:val="32"/>
          <w:szCs w:val="21"/>
          <w:lang w:val="en-US" w:eastAsia="zh-CN" w:bidi="ar-SA"/>
        </w:rPr>
        <w:t>五、</w:t>
      </w:r>
      <w:r>
        <w:rPr>
          <w:rFonts w:hint="eastAsia"/>
          <w:lang w:val="en-US" w:eastAsia="zh-CN"/>
        </w:rPr>
        <w:t>图例汇总</w:t>
      </w:r>
    </w:p>
    <w:p w14:paraId="1AC7D4AC">
      <w:pPr>
        <w:ind w:firstLine="0" w:firstLineChars="0"/>
        <w:rPr>
          <w:lang w:eastAsia="zh-CN"/>
        </w:rPr>
      </w:pPr>
      <w:r>
        <w:drawing>
          <wp:inline distT="0" distB="0" distL="114300" distR="114300">
            <wp:extent cx="5258435" cy="2769870"/>
            <wp:effectExtent l="0" t="0" r="12065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76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68899">
      <w:pPr>
        <w:ind w:firstLine="0" w:firstLineChars="0"/>
        <w:jc w:val="center"/>
        <w:rPr>
          <w:lang w:eastAsia="zh-CN"/>
        </w:rPr>
      </w:pPr>
      <w:r>
        <w:rPr>
          <w:rFonts w:hint="eastAsia"/>
          <w:lang w:eastAsia="zh-CN"/>
        </w:rPr>
        <w:t>图3-1</w:t>
      </w:r>
    </w:p>
    <w:p w14:paraId="6A2345AC">
      <w:pPr>
        <w:ind w:firstLine="560"/>
        <w:rPr>
          <w:lang w:eastAsia="zh-CN"/>
        </w:rPr>
      </w:pPr>
    </w:p>
    <w:p w14:paraId="6634CD7F">
      <w:pPr>
        <w:ind w:firstLine="0" w:firstLineChars="0"/>
      </w:pPr>
      <w:r>
        <w:drawing>
          <wp:inline distT="0" distB="0" distL="114300" distR="114300">
            <wp:extent cx="5252085" cy="2771775"/>
            <wp:effectExtent l="0" t="0" r="5715" b="952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C5E33">
      <w:pPr>
        <w:ind w:firstLine="0" w:firstLineChars="0"/>
        <w:jc w:val="center"/>
        <w:rPr>
          <w:lang w:eastAsia="zh-CN"/>
        </w:rPr>
      </w:pPr>
      <w:r>
        <w:rPr>
          <w:rFonts w:hint="eastAsia"/>
          <w:lang w:eastAsia="zh-CN"/>
        </w:rPr>
        <w:t>图3-2</w:t>
      </w:r>
    </w:p>
    <w:p w14:paraId="5F7694EE">
      <w:pPr>
        <w:ind w:firstLine="0" w:firstLineChars="0"/>
        <w:rPr>
          <w:lang w:eastAsia="zh-CN"/>
        </w:rPr>
      </w:pPr>
      <w:r>
        <w:drawing>
          <wp:inline distT="0" distB="0" distL="114300" distR="114300">
            <wp:extent cx="5267325" cy="2778760"/>
            <wp:effectExtent l="0" t="0" r="3175" b="254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C5676">
      <w:pPr>
        <w:ind w:firstLine="0" w:firstLineChars="0"/>
        <w:jc w:val="center"/>
        <w:rPr>
          <w:lang w:eastAsia="zh-CN"/>
        </w:rPr>
      </w:pPr>
      <w:r>
        <w:rPr>
          <w:rFonts w:hint="eastAsia"/>
          <w:lang w:eastAsia="zh-CN"/>
        </w:rPr>
        <w:t>图3-3</w:t>
      </w:r>
    </w:p>
    <w:p w14:paraId="1CCDCB34">
      <w:pPr>
        <w:ind w:firstLine="0" w:firstLineChars="0"/>
        <w:jc w:val="center"/>
        <w:rPr>
          <w:lang w:eastAsia="zh-CN"/>
        </w:rPr>
      </w:pPr>
    </w:p>
    <w:p w14:paraId="1DF957AB">
      <w:pPr>
        <w:ind w:firstLine="0" w:firstLineChars="0"/>
        <w:jc w:val="center"/>
        <w:rPr>
          <w:lang w:eastAsia="zh-CN"/>
        </w:rPr>
      </w:pPr>
    </w:p>
    <w:p w14:paraId="01A5036E">
      <w:pPr>
        <w:ind w:firstLine="0" w:firstLineChars="0"/>
      </w:pPr>
      <w:r>
        <w:drawing>
          <wp:inline distT="0" distB="0" distL="114300" distR="114300">
            <wp:extent cx="5263515" cy="2797175"/>
            <wp:effectExtent l="0" t="0" r="6985" b="952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1514D">
      <w:pPr>
        <w:ind w:firstLine="0" w:firstLineChars="0"/>
        <w:jc w:val="center"/>
        <w:rPr>
          <w:lang w:eastAsia="zh-CN"/>
        </w:rPr>
      </w:pPr>
    </w:p>
    <w:p w14:paraId="2618D59C">
      <w:pPr>
        <w:ind w:firstLine="0" w:firstLineChars="0"/>
        <w:jc w:val="center"/>
        <w:rPr>
          <w:lang w:eastAsia="zh-CN"/>
        </w:rPr>
      </w:pPr>
      <w:r>
        <w:rPr>
          <w:rFonts w:hint="eastAsia"/>
          <w:lang w:eastAsia="zh-CN"/>
        </w:rPr>
        <w:t>图3-4</w:t>
      </w:r>
    </w:p>
    <w:p w14:paraId="21C79076">
      <w:pPr>
        <w:ind w:firstLine="0" w:firstLineChars="0"/>
      </w:pPr>
      <w:r>
        <w:drawing>
          <wp:inline distT="0" distB="0" distL="114300" distR="114300">
            <wp:extent cx="5252085" cy="2765425"/>
            <wp:effectExtent l="0" t="0" r="5715" b="3175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DC555">
      <w:pPr>
        <w:ind w:firstLine="0" w:firstLineChars="0"/>
        <w:jc w:val="center"/>
        <w:rPr>
          <w:lang w:eastAsia="zh-CN"/>
        </w:rPr>
      </w:pPr>
      <w:r>
        <w:rPr>
          <w:rFonts w:hint="eastAsia"/>
          <w:lang w:eastAsia="zh-CN"/>
        </w:rPr>
        <w:t>图3-5</w:t>
      </w:r>
    </w:p>
    <w:p w14:paraId="45885ADB">
      <w:pPr>
        <w:ind w:firstLine="0" w:firstLineChars="0"/>
        <w:jc w:val="center"/>
        <w:rPr>
          <w:lang w:eastAsia="zh-CN"/>
        </w:rPr>
      </w:pPr>
    </w:p>
    <w:p w14:paraId="1B12674A">
      <w:pPr>
        <w:ind w:firstLine="0" w:firstLineChars="0"/>
        <w:jc w:val="center"/>
      </w:pPr>
      <w:r>
        <w:drawing>
          <wp:inline distT="0" distB="0" distL="114300" distR="114300">
            <wp:extent cx="5269865" cy="2778125"/>
            <wp:effectExtent l="0" t="0" r="635" b="3175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152A8">
      <w:pPr>
        <w:ind w:firstLine="0" w:firstLineChars="0"/>
        <w:jc w:val="center"/>
        <w:rPr>
          <w:lang w:eastAsia="zh-CN"/>
        </w:rPr>
      </w:pPr>
      <w:r>
        <w:rPr>
          <w:rFonts w:hint="eastAsia"/>
          <w:lang w:eastAsia="zh-CN"/>
        </w:rPr>
        <w:t>图3-6</w:t>
      </w:r>
    </w:p>
    <w:p w14:paraId="2F9CC987">
      <w:pPr>
        <w:ind w:firstLine="0" w:firstLineChars="0"/>
        <w:jc w:val="center"/>
      </w:pPr>
      <w:r>
        <w:drawing>
          <wp:inline distT="0" distB="0" distL="114300" distR="114300">
            <wp:extent cx="5252085" cy="2759075"/>
            <wp:effectExtent l="0" t="0" r="5715" b="9525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C195C">
      <w:pPr>
        <w:ind w:firstLine="0" w:firstLineChars="0"/>
        <w:jc w:val="center"/>
        <w:rPr>
          <w:lang w:eastAsia="zh-CN"/>
        </w:rPr>
      </w:pPr>
      <w:r>
        <w:rPr>
          <w:rFonts w:hint="eastAsia"/>
          <w:lang w:eastAsia="zh-CN"/>
        </w:rPr>
        <w:t>图3-7</w:t>
      </w:r>
    </w:p>
    <w:p w14:paraId="7895A5AD">
      <w:pPr>
        <w:ind w:firstLine="0" w:firstLineChars="0"/>
        <w:jc w:val="center"/>
        <w:rPr>
          <w:lang w:eastAsia="zh-CN"/>
        </w:rPr>
      </w:pPr>
    </w:p>
    <w:p w14:paraId="324EE2AB">
      <w:pPr>
        <w:ind w:firstLine="0" w:firstLineChars="0"/>
        <w:jc w:val="both"/>
        <w:rPr>
          <w:lang w:eastAsia="zh-CN"/>
        </w:rPr>
      </w:pPr>
    </w:p>
    <w:p w14:paraId="175A9A42">
      <w:pPr>
        <w:ind w:firstLine="0" w:firstLineChars="0"/>
        <w:jc w:val="center"/>
      </w:pPr>
      <w:r>
        <w:drawing>
          <wp:inline distT="0" distB="0" distL="114300" distR="114300">
            <wp:extent cx="5252085" cy="2765425"/>
            <wp:effectExtent l="0" t="0" r="5715" b="3175"/>
            <wp:docPr id="1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C8B2E">
      <w:pPr>
        <w:ind w:firstLine="0" w:firstLineChars="0"/>
        <w:jc w:val="center"/>
        <w:rPr>
          <w:lang w:eastAsia="zh-CN"/>
        </w:rPr>
      </w:pPr>
      <w:r>
        <w:rPr>
          <w:rFonts w:hint="eastAsia"/>
          <w:lang w:eastAsia="zh-CN"/>
        </w:rPr>
        <w:t>图3-8</w:t>
      </w:r>
    </w:p>
    <w:p w14:paraId="6CD415D6">
      <w:pPr>
        <w:ind w:firstLine="0" w:firstLineChars="0"/>
        <w:jc w:val="center"/>
        <w:rPr>
          <w:lang w:eastAsia="zh-CN"/>
        </w:rPr>
      </w:pPr>
    </w:p>
    <w:p w14:paraId="1F56A071">
      <w:pPr>
        <w:ind w:firstLine="0" w:firstLineChars="0"/>
        <w:jc w:val="center"/>
        <w:rPr>
          <w:lang w:eastAsia="zh-CN"/>
        </w:rPr>
      </w:pPr>
    </w:p>
    <w:p w14:paraId="5955BF87">
      <w:pPr>
        <w:ind w:firstLine="0" w:firstLineChars="0"/>
        <w:jc w:val="center"/>
        <w:rPr>
          <w:lang w:eastAsia="zh-CN"/>
        </w:rPr>
      </w:pPr>
    </w:p>
    <w:p w14:paraId="49A18BE3">
      <w:pPr>
        <w:ind w:firstLine="0" w:firstLineChars="0"/>
        <w:jc w:val="center"/>
      </w:pPr>
      <w:r>
        <w:drawing>
          <wp:inline distT="0" distB="0" distL="114300" distR="114300">
            <wp:extent cx="5261610" cy="2771775"/>
            <wp:effectExtent l="0" t="0" r="8890" b="9525"/>
            <wp:docPr id="2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0683E">
      <w:pPr>
        <w:ind w:firstLine="0" w:firstLineChars="0"/>
        <w:jc w:val="center"/>
        <w:rPr>
          <w:lang w:eastAsia="zh-CN"/>
        </w:rPr>
      </w:pPr>
      <w:r>
        <w:rPr>
          <w:rFonts w:hint="eastAsia"/>
          <w:lang w:eastAsia="zh-CN"/>
        </w:rPr>
        <w:t>图3-9</w:t>
      </w:r>
    </w:p>
    <w:p w14:paraId="3A2BF820">
      <w:pPr>
        <w:ind w:firstLine="0" w:firstLineChars="0"/>
        <w:jc w:val="center"/>
      </w:pPr>
      <w:r>
        <w:drawing>
          <wp:inline distT="0" distB="0" distL="114300" distR="114300">
            <wp:extent cx="5255260" cy="1719580"/>
            <wp:effectExtent l="0" t="0" r="2540" b="7620"/>
            <wp:docPr id="2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AC927">
      <w:pPr>
        <w:ind w:firstLine="0" w:firstLineChars="0"/>
        <w:jc w:val="center"/>
        <w:rPr>
          <w:lang w:eastAsia="zh-CN"/>
        </w:rPr>
      </w:pPr>
      <w:r>
        <w:rPr>
          <w:rFonts w:hint="eastAsia"/>
          <w:lang w:eastAsia="zh-CN"/>
        </w:rPr>
        <w:t>图3-10</w:t>
      </w:r>
    </w:p>
    <w:p w14:paraId="3B63BBBA">
      <w:pPr>
        <w:ind w:firstLine="0" w:firstLineChars="0"/>
        <w:jc w:val="center"/>
        <w:rPr>
          <w:lang w:eastAsia="zh-CN"/>
        </w:rPr>
      </w:pPr>
      <w:r>
        <w:drawing>
          <wp:inline distT="0" distB="0" distL="114300" distR="114300">
            <wp:extent cx="5269865" cy="2790825"/>
            <wp:effectExtent l="0" t="0" r="635" b="3175"/>
            <wp:docPr id="2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5B13F">
      <w:pPr>
        <w:ind w:firstLine="0" w:firstLineChars="0"/>
        <w:jc w:val="center"/>
        <w:rPr>
          <w:lang w:eastAsia="zh-CN"/>
        </w:rPr>
      </w:pPr>
      <w:r>
        <w:rPr>
          <w:rFonts w:hint="eastAsia"/>
          <w:lang w:eastAsia="zh-CN"/>
        </w:rPr>
        <w:t>图3-11</w:t>
      </w:r>
    </w:p>
    <w:p w14:paraId="4D0DC68E">
      <w:pPr>
        <w:ind w:firstLine="0" w:firstLineChars="0"/>
        <w:jc w:val="center"/>
        <w:rPr>
          <w:lang w:eastAsia="zh-CN"/>
        </w:rPr>
      </w:pPr>
    </w:p>
    <w:p w14:paraId="24871B6A">
      <w:pPr>
        <w:ind w:firstLine="0" w:firstLineChars="0"/>
        <w:jc w:val="center"/>
      </w:pPr>
      <w:r>
        <w:drawing>
          <wp:inline distT="0" distB="0" distL="114300" distR="114300">
            <wp:extent cx="5264150" cy="2740660"/>
            <wp:effectExtent l="0" t="0" r="6350" b="2540"/>
            <wp:docPr id="2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4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38593">
      <w:pPr>
        <w:ind w:firstLine="0" w:firstLineChars="0"/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图3-12</w:t>
      </w:r>
    </w:p>
    <w:p w14:paraId="304DE05C">
      <w:pPr>
        <w:ind w:firstLine="0" w:firstLineChars="0"/>
        <w:jc w:val="center"/>
        <w:rPr>
          <w:rFonts w:hint="eastAsia"/>
          <w:lang w:eastAsia="zh-CN"/>
        </w:rPr>
      </w:pPr>
    </w:p>
    <w:p w14:paraId="3E707D87">
      <w:pPr>
        <w:ind w:firstLine="0" w:firstLineChars="0"/>
        <w:jc w:val="center"/>
      </w:pPr>
      <w:r>
        <w:drawing>
          <wp:inline distT="0" distB="0" distL="114300" distR="114300">
            <wp:extent cx="5256530" cy="1236980"/>
            <wp:effectExtent l="0" t="0" r="1270" b="762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0F598">
      <w:pPr>
        <w:ind w:firstLine="0" w:firstLineChars="0"/>
        <w:jc w:val="center"/>
        <w:rPr>
          <w:rFonts w:hint="default" w:eastAsia="仿宋_GB2312"/>
          <w:lang w:val="en-US" w:eastAsia="zh-CN"/>
        </w:rPr>
      </w:pPr>
      <w:r>
        <w:rPr>
          <w:rFonts w:hint="eastAsia"/>
          <w:lang w:val="en-US" w:eastAsia="zh-CN"/>
        </w:rPr>
        <w:t>图3-13</w:t>
      </w:r>
    </w:p>
    <w:sectPr>
      <w:headerReference r:id="rId5" w:type="default"/>
      <w:footerReference r:id="rId6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KSOFE44F9426">
    <w:panose1 w:val="02010609060101010101"/>
    <w:charset w:val="86"/>
    <w:family w:val="auto"/>
    <w:pitch w:val="default"/>
    <w:sig w:usb0="00000001" w:usb1="00000000" w:usb2="00000000" w:usb3="00000000" w:csb0="00040001" w:csb1="00000000"/>
  </w:font>
  <w:font w:name="KSOFE4500885">
    <w:panose1 w:val="02010609060101010101"/>
    <w:charset w:val="86"/>
    <w:family w:val="auto"/>
    <w:pitch w:val="default"/>
    <w:sig w:usb0="00000001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5AFF97">
    <w:pPr>
      <w:pStyle w:val="7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560"/>
      </w:pPr>
      <w:r>
        <w:separator/>
      </w:r>
    </w:p>
  </w:footnote>
  <w:footnote w:type="continuationSeparator" w:id="1">
    <w:p>
      <w:pPr>
        <w:spacing w:line="36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0B42DA">
    <w:pPr>
      <w:pStyle w:val="8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6D8556F"/>
    <w:multiLevelType w:val="singleLevel"/>
    <w:tmpl w:val="86D8556F"/>
    <w:lvl w:ilvl="0" w:tentative="0">
      <w:start w:val="1"/>
      <w:numFmt w:val="chineseCounting"/>
      <w:pStyle w:val="3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1">
    <w:nsid w:val="4BBC6825"/>
    <w:multiLevelType w:val="singleLevel"/>
    <w:tmpl w:val="4BBC6825"/>
    <w:lvl w:ilvl="0" w:tentative="0">
      <w:start w:val="1"/>
      <w:numFmt w:val="chineseCounting"/>
      <w:pStyle w:val="2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7873011"/>
    <w:rsid w:val="0010605F"/>
    <w:rsid w:val="002954C3"/>
    <w:rsid w:val="00477C4E"/>
    <w:rsid w:val="005B4D6E"/>
    <w:rsid w:val="006236C3"/>
    <w:rsid w:val="007663FE"/>
    <w:rsid w:val="00782240"/>
    <w:rsid w:val="007C2297"/>
    <w:rsid w:val="007D5FE2"/>
    <w:rsid w:val="00884C0F"/>
    <w:rsid w:val="008E1124"/>
    <w:rsid w:val="009225E4"/>
    <w:rsid w:val="00BC391D"/>
    <w:rsid w:val="00D909BD"/>
    <w:rsid w:val="031B18AA"/>
    <w:rsid w:val="056E2359"/>
    <w:rsid w:val="06BB2C3B"/>
    <w:rsid w:val="08F800E0"/>
    <w:rsid w:val="0920211A"/>
    <w:rsid w:val="0C15081D"/>
    <w:rsid w:val="0E2E3755"/>
    <w:rsid w:val="12B31ADA"/>
    <w:rsid w:val="18D213D0"/>
    <w:rsid w:val="1E57231E"/>
    <w:rsid w:val="1EF97206"/>
    <w:rsid w:val="207E06C6"/>
    <w:rsid w:val="23134566"/>
    <w:rsid w:val="2A4E72FE"/>
    <w:rsid w:val="2D6D5012"/>
    <w:rsid w:val="2E292D45"/>
    <w:rsid w:val="2F9B3D4C"/>
    <w:rsid w:val="3E503844"/>
    <w:rsid w:val="40FC0CF2"/>
    <w:rsid w:val="42852759"/>
    <w:rsid w:val="47873011"/>
    <w:rsid w:val="4AE178D7"/>
    <w:rsid w:val="4DB53E5A"/>
    <w:rsid w:val="4EAC6FB9"/>
    <w:rsid w:val="4F8572C1"/>
    <w:rsid w:val="58A83A20"/>
    <w:rsid w:val="606F5668"/>
    <w:rsid w:val="6A5F4BF7"/>
    <w:rsid w:val="6BBB5C49"/>
    <w:rsid w:val="6CD12D1D"/>
    <w:rsid w:val="6FE84012"/>
    <w:rsid w:val="71582A91"/>
    <w:rsid w:val="79C15EE8"/>
    <w:rsid w:val="79F25D71"/>
    <w:rsid w:val="7BD65CE6"/>
    <w:rsid w:val="7D034BDB"/>
    <w:rsid w:val="7D1A3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360" w:lineRule="auto"/>
      <w:ind w:firstLine="820" w:firstLineChars="200"/>
      <w:textAlignment w:val="baseline"/>
    </w:pPr>
    <w:rPr>
      <w:rFonts w:ascii="Arial" w:hAnsi="Arial" w:eastAsia="仿宋_GB2312" w:cs="Arial"/>
      <w:snapToGrid w:val="0"/>
      <w:color w:val="000000"/>
      <w:sz w:val="28"/>
      <w:szCs w:val="21"/>
      <w:lang w:val="en-US" w:eastAsia="en-US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after="330" w:line="660" w:lineRule="exact"/>
      <w:outlineLvl w:val="0"/>
    </w:pPr>
    <w:rPr>
      <w:rFonts w:eastAsia="黑体"/>
      <w:kern w:val="44"/>
      <w:sz w:val="32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0"/>
        <w:numId w:val="2"/>
      </w:numPr>
      <w:spacing w:before="260" w:after="260" w:line="660" w:lineRule="exact"/>
      <w:outlineLvl w:val="1"/>
    </w:pPr>
    <w:rPr>
      <w:rFonts w:eastAsia="楷体"/>
      <w:sz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="260" w:after="260" w:line="660" w:lineRule="exact"/>
      <w:outlineLvl w:val="2"/>
    </w:pPr>
    <w:rPr>
      <w:sz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spacing w:before="280" w:after="290" w:line="660" w:lineRule="exact"/>
      <w:outlineLvl w:val="3"/>
    </w:pPr>
    <w:rPr>
      <w:sz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"/>
    <w:basedOn w:val="1"/>
    <w:semiHidden/>
    <w:qFormat/>
    <w:uiPriority w:val="0"/>
    <w:rPr>
      <w:rFonts w:ascii="仿宋" w:hAnsi="仿宋" w:eastAsia="仿宋" w:cs="仿宋"/>
      <w:sz w:val="19"/>
      <w:szCs w:val="19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</w:pPr>
    <w:rPr>
      <w:sz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pacing w:line="240" w:lineRule="auto"/>
      <w:jc w:val="both"/>
    </w:pPr>
    <w:rPr>
      <w:sz w:val="18"/>
    </w:rPr>
  </w:style>
  <w:style w:type="paragraph" w:styleId="9">
    <w:name w:val="Normal (Web)"/>
    <w:basedOn w:val="1"/>
    <w:qFormat/>
    <w:uiPriority w:val="0"/>
    <w:rPr>
      <w:sz w:val="24"/>
    </w:rPr>
  </w:style>
  <w:style w:type="character" w:styleId="12">
    <w:name w:val="Strong"/>
    <w:basedOn w:val="11"/>
    <w:qFormat/>
    <w:uiPriority w:val="0"/>
    <w:rPr>
      <w:b/>
    </w:rPr>
  </w:style>
  <w:style w:type="table" w:customStyle="1" w:styleId="13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4">
    <w:name w:val="题目"/>
    <w:basedOn w:val="1"/>
    <w:qFormat/>
    <w:uiPriority w:val="0"/>
    <w:pPr>
      <w:spacing w:line="720" w:lineRule="exact"/>
      <w:jc w:val="center"/>
      <w:outlineLvl w:val="0"/>
    </w:pPr>
    <w:rPr>
      <w:rFonts w:ascii="宋体" w:hAnsi="宋体" w:eastAsia="方正小标宋简体" w:cs="宋体"/>
      <w:bCs/>
      <w:spacing w:val="-15"/>
      <w:sz w:val="44"/>
      <w:szCs w:val="28"/>
    </w:rPr>
  </w:style>
  <w:style w:type="paragraph" w:customStyle="1" w:styleId="15">
    <w:name w:val="msolistparagraph"/>
    <w:basedOn w:val="1"/>
    <w:qFormat/>
    <w:uiPriority w:val="0"/>
    <w:pPr>
      <w:widowControl w:val="0"/>
      <w:ind w:left="720"/>
      <w:contextualSpacing/>
      <w:jc w:val="both"/>
    </w:pPr>
    <w:rPr>
      <w:rFonts w:hint="eastAsia" w:ascii="等线" w:hAnsi="等线" w:eastAsia="等线" w:cs="Times New Roman"/>
      <w:kern w:val="2"/>
      <w:sz w:val="21"/>
      <w:szCs w:val="22"/>
      <w:lang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1291</Words>
  <Characters>1416</Characters>
  <Lines>76</Lines>
  <Paragraphs>48</Paragraphs>
  <TotalTime>38</TotalTime>
  <ScaleCrop>false</ScaleCrop>
  <LinksUpToDate>false</LinksUpToDate>
  <CharactersWithSpaces>1417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2025-12-05T02:23:00Z</dcterms:created>
  <dc:creator>尹桢</dc:creator>
  <cp:lastModifiedBy>王二</cp:lastModifiedBy>
  <dcterms:modified xsi:type="dcterms:W3CDTF">2026-06-16T08:26:57Z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FC8A400A3A324705BFBA6B32EC4D0D17_13</vt:lpwstr>
  </property>
  <property fmtid="{D5CDD505-2E9C-101B-9397-08002B2CF9AE}" pid="4" name="KSOTemplateDocerSaveRecord">
    <vt:lpwstr>eyJoZGlkIjoiNzkzMmY1ZTVjYWI0ZDY3MmQ4N2ZlMzdiNTJhZDU5OGIiLCJ1c2VySWQiOiI1NjcxNjczNzIifQ==</vt:lpwstr>
  </property>
</Properties>
</file>