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92585">
      <w:pPr>
        <w:spacing w:after="240" w:line="360" w:lineRule="auto"/>
        <w:jc w:val="left"/>
        <w:rPr>
          <w:rFonts w:hint="default"/>
          <w:b w:val="0"/>
          <w:bCs/>
          <w:sz w:val="30"/>
          <w:szCs w:val="30"/>
          <w:lang w:val="en-US" w:eastAsia="zh-CN"/>
        </w:rPr>
      </w:pPr>
      <w:r>
        <w:rPr>
          <w:rFonts w:hint="eastAsia"/>
          <w:b w:val="0"/>
          <w:bCs/>
          <w:sz w:val="30"/>
          <w:szCs w:val="30"/>
          <w:lang w:eastAsia="zh-CN"/>
        </w:rPr>
        <w:t>附件</w:t>
      </w:r>
      <w:r>
        <w:rPr>
          <w:rFonts w:hint="eastAsia"/>
          <w:b w:val="0"/>
          <w:bCs/>
          <w:sz w:val="30"/>
          <w:szCs w:val="30"/>
          <w:lang w:val="en-US" w:eastAsia="zh-CN"/>
        </w:rPr>
        <w:t>2</w:t>
      </w:r>
    </w:p>
    <w:p w14:paraId="6E8C00E8">
      <w:pPr>
        <w:keepNext w:val="0"/>
        <w:keepLines w:val="0"/>
        <w:pageBreakBefore w:val="0"/>
        <w:widowControl/>
        <w:kinsoku/>
        <w:wordWrap/>
        <w:overflowPunct/>
        <w:topLinePunct w:val="0"/>
        <w:autoSpaceDE/>
        <w:autoSpaceDN/>
        <w:bidi w:val="0"/>
        <w:adjustRightInd/>
        <w:snapToGrid/>
        <w:spacing w:after="240" w:line="520" w:lineRule="exact"/>
        <w:jc w:val="center"/>
        <w:textAlignment w:val="auto"/>
        <w:rPr>
          <w:b/>
          <w:sz w:val="32"/>
          <w:lang w:eastAsia="zh-CN"/>
        </w:rPr>
      </w:pPr>
      <w:bookmarkStart w:id="0" w:name="_GoBack"/>
      <w:bookmarkEnd w:id="0"/>
      <w:r>
        <w:rPr>
          <w:b/>
          <w:sz w:val="32"/>
          <w:lang w:eastAsia="zh-CN"/>
        </w:rPr>
        <w:t>药物滥用监测报告表质量评估标准</w:t>
      </w:r>
    </w:p>
    <w:p w14:paraId="05129340">
      <w:pPr>
        <w:keepNext w:val="0"/>
        <w:keepLines w:val="0"/>
        <w:pageBreakBefore w:val="0"/>
        <w:widowControl/>
        <w:kinsoku/>
        <w:wordWrap/>
        <w:overflowPunct/>
        <w:topLinePunct w:val="0"/>
        <w:autoSpaceDE/>
        <w:autoSpaceDN/>
        <w:bidi w:val="0"/>
        <w:adjustRightInd/>
        <w:snapToGrid/>
        <w:spacing w:after="80" w:line="520" w:lineRule="exact"/>
        <w:ind w:firstLine="0"/>
        <w:jc w:val="center"/>
        <w:textAlignment w:val="auto"/>
        <w:rPr>
          <w:color w:val="auto"/>
          <w:sz w:val="30"/>
          <w:szCs w:val="30"/>
        </w:rPr>
      </w:pPr>
      <w:r>
        <w:rPr>
          <w:rFonts w:ascii="宋体" w:hAnsi="宋体" w:eastAsia="宋体"/>
          <w:b w:val="0"/>
          <w:color w:val="auto"/>
          <w:sz w:val="30"/>
          <w:szCs w:val="30"/>
        </w:rPr>
        <w:t>（</w:t>
      </w:r>
      <w:r>
        <w:rPr>
          <w:rFonts w:hint="eastAsia"/>
          <w:b w:val="0"/>
          <w:color w:val="auto"/>
          <w:sz w:val="30"/>
          <w:szCs w:val="30"/>
          <w:lang w:val="en-US" w:eastAsia="zh-CN"/>
        </w:rPr>
        <w:t>征求意见稿</w:t>
      </w:r>
      <w:r>
        <w:rPr>
          <w:rFonts w:ascii="宋体" w:hAnsi="宋体" w:eastAsia="宋体"/>
          <w:b w:val="0"/>
          <w:color w:val="auto"/>
          <w:sz w:val="30"/>
          <w:szCs w:val="30"/>
        </w:rPr>
        <w:t>）</w:t>
      </w:r>
    </w:p>
    <w:p w14:paraId="5BD418EC">
      <w:pPr>
        <w:keepNext w:val="0"/>
        <w:keepLines w:val="0"/>
        <w:pageBreakBefore w:val="0"/>
        <w:widowControl/>
        <w:kinsoku/>
        <w:wordWrap/>
        <w:overflowPunct/>
        <w:topLinePunct w:val="0"/>
        <w:autoSpaceDE/>
        <w:autoSpaceDN/>
        <w:bidi w:val="0"/>
        <w:adjustRightInd/>
        <w:snapToGrid/>
        <w:spacing w:after="240" w:line="520" w:lineRule="exact"/>
        <w:jc w:val="center"/>
        <w:textAlignment w:val="auto"/>
        <w:rPr>
          <w:rFonts w:hint="eastAsia"/>
          <w:lang w:eastAsia="zh-CN"/>
        </w:rPr>
      </w:pPr>
    </w:p>
    <w:p w14:paraId="314E0992">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sz w:val="28"/>
          <w:lang w:eastAsia="zh-CN"/>
        </w:rPr>
        <w:t>一、制定目的</w:t>
      </w:r>
    </w:p>
    <w:p w14:paraId="79191AC8">
      <w:pPr>
        <w:keepNext w:val="0"/>
        <w:keepLines w:val="0"/>
        <w:pageBreakBefore w:val="0"/>
        <w:widowControl/>
        <w:kinsoku/>
        <w:wordWrap/>
        <w:overflowPunct/>
        <w:topLinePunct w:val="0"/>
        <w:autoSpaceDE/>
        <w:autoSpaceDN/>
        <w:bidi w:val="0"/>
        <w:adjustRightInd/>
        <w:snapToGrid/>
        <w:spacing w:after="0" w:line="520" w:lineRule="exact"/>
        <w:ind w:firstLine="482"/>
        <w:jc w:val="both"/>
        <w:textAlignment w:val="auto"/>
        <w:rPr>
          <w:rFonts w:hint="eastAsia"/>
          <w:lang w:eastAsia="zh-CN"/>
        </w:rPr>
      </w:pPr>
      <w:r>
        <w:rPr>
          <w:lang w:eastAsia="zh-CN"/>
        </w:rPr>
        <w:t>为提高药物滥用监测报告表填报质量，增强监测数据的真实性、完整性、规范性、及时性和公共卫生应用价值，依据国家药物滥用监测报告表（2009版）规定的字段结构与填写规范，以及《</w:t>
      </w:r>
      <w:r>
        <w:rPr>
          <w:rFonts w:hint="eastAsia"/>
          <w:lang w:eastAsia="zh-CN"/>
        </w:rPr>
        <w:t>关于加强</w:t>
      </w:r>
      <w:r>
        <w:rPr>
          <w:lang w:eastAsia="zh-CN"/>
        </w:rPr>
        <w:t>药物滥用监测调查表报告质量审核与评估</w:t>
      </w:r>
      <w:r>
        <w:rPr>
          <w:rFonts w:hint="eastAsia"/>
          <w:lang w:eastAsia="zh-CN"/>
        </w:rPr>
        <w:t>的</w:t>
      </w:r>
      <w:r>
        <w:rPr>
          <w:lang w:eastAsia="zh-CN"/>
        </w:rPr>
        <w:t>通知》（监测与评价特〔2018〕55号）的</w:t>
      </w:r>
      <w:r>
        <w:rPr>
          <w:rFonts w:hint="eastAsia"/>
          <w:lang w:eastAsia="zh-CN"/>
        </w:rPr>
        <w:t>有关要求，</w:t>
      </w:r>
      <w:r>
        <w:rPr>
          <w:lang w:eastAsia="zh-CN"/>
        </w:rPr>
        <w:t>结合药物滥用监测工作</w:t>
      </w:r>
      <w:r>
        <w:rPr>
          <w:rFonts w:hint="eastAsia"/>
          <w:lang w:eastAsia="zh-CN"/>
        </w:rPr>
        <w:t>的实际开展情况</w:t>
      </w:r>
      <w:r>
        <w:rPr>
          <w:lang w:eastAsia="zh-CN"/>
        </w:rPr>
        <w:t>，制定本质量评估标准。</w:t>
      </w:r>
    </w:p>
    <w:p w14:paraId="1DE87A17">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本标准旨在建立一套结构清晰、评</w:t>
      </w:r>
      <w:r>
        <w:rPr>
          <w:rFonts w:hint="eastAsia"/>
          <w:lang w:eastAsia="zh-CN"/>
        </w:rPr>
        <w:t>估</w:t>
      </w:r>
      <w:r>
        <w:rPr>
          <w:lang w:eastAsia="zh-CN"/>
        </w:rPr>
        <w:t>全面、操作简便、适合电子上报系统数据特点的质量评估方法，用于</w:t>
      </w:r>
      <w:r>
        <w:rPr>
          <w:rFonts w:hint="eastAsia"/>
          <w:lang w:eastAsia="zh-CN"/>
        </w:rPr>
        <w:t>评估</w:t>
      </w:r>
      <w:r>
        <w:rPr>
          <w:lang w:eastAsia="zh-CN"/>
        </w:rPr>
        <w:t>报告表填报质量，发现数据质量问题，指导报告单位改进填报工作，并为药物滥用监测数据分析、风险识别、趋势研判和质量管理提供依据。</w:t>
      </w:r>
    </w:p>
    <w:p w14:paraId="79FBC702">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sz w:val="28"/>
          <w:lang w:eastAsia="zh-CN"/>
        </w:rPr>
        <w:t>二、适用范围</w:t>
      </w:r>
    </w:p>
    <w:p w14:paraId="52060308">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本标准适用于通过国家药品不良反应监测系统药物滥用监测平台填报或导出的药物滥用监测报告表质量评估，包括历史报告表抽样</w:t>
      </w:r>
      <w:r>
        <w:rPr>
          <w:rFonts w:hint="eastAsia"/>
          <w:lang w:eastAsia="zh-CN"/>
        </w:rPr>
        <w:t>评估</w:t>
      </w:r>
      <w:r>
        <w:rPr>
          <w:lang w:eastAsia="zh-CN"/>
        </w:rPr>
        <w:t>、报告单位质量反馈、填报培训、数据清理、质量验证和质量持续改进等工作。</w:t>
      </w:r>
    </w:p>
    <w:p w14:paraId="31409C72">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本标准</w:t>
      </w:r>
      <w:r>
        <w:rPr>
          <w:rFonts w:hint="eastAsia"/>
          <w:lang w:eastAsia="zh-CN"/>
        </w:rPr>
        <w:t>评估</w:t>
      </w:r>
      <w:r>
        <w:rPr>
          <w:lang w:eastAsia="zh-CN"/>
        </w:rPr>
        <w:t>对象为</w:t>
      </w:r>
      <w:r>
        <w:rPr>
          <w:rFonts w:hint="eastAsia"/>
          <w:lang w:eastAsia="zh-CN"/>
        </w:rPr>
        <w:t>个例</w:t>
      </w:r>
      <w:r>
        <w:rPr>
          <w:lang w:eastAsia="zh-CN"/>
        </w:rPr>
        <w:t>药物滥用监测报告表。对于</w:t>
      </w:r>
      <w:r>
        <w:rPr>
          <w:rFonts w:hint="eastAsia"/>
          <w:lang w:eastAsia="zh-CN"/>
        </w:rPr>
        <w:t>基层</w:t>
      </w:r>
      <w:r>
        <w:rPr>
          <w:lang w:eastAsia="zh-CN"/>
        </w:rPr>
        <w:t>报告单位、地区或时间段的整体报告质量，可在</w:t>
      </w:r>
      <w:r>
        <w:rPr>
          <w:rFonts w:hint="eastAsia"/>
          <w:lang w:eastAsia="zh-CN"/>
        </w:rPr>
        <w:t>个例</w:t>
      </w:r>
      <w:r>
        <w:rPr>
          <w:lang w:eastAsia="zh-CN"/>
        </w:rPr>
        <w:t>报告表评分基础上进行汇总分析。对于电子系统导出的明细数据，应先按照系统编号或表格编号识别并聚合为</w:t>
      </w:r>
      <w:r>
        <w:rPr>
          <w:rFonts w:hint="eastAsia"/>
          <w:lang w:eastAsia="zh-CN"/>
        </w:rPr>
        <w:t>个例</w:t>
      </w:r>
      <w:r>
        <w:rPr>
          <w:lang w:eastAsia="zh-CN"/>
        </w:rPr>
        <w:t>报告表，再开展质量评估。</w:t>
      </w:r>
    </w:p>
    <w:p w14:paraId="31D8C047">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sz w:val="28"/>
          <w:lang w:eastAsia="zh-CN"/>
        </w:rPr>
        <w:t>三、</w:t>
      </w:r>
      <w:r>
        <w:rPr>
          <w:rFonts w:hint="eastAsia"/>
          <w:b/>
          <w:sz w:val="28"/>
          <w:lang w:eastAsia="zh-CN"/>
        </w:rPr>
        <w:t>评估</w:t>
      </w:r>
      <w:r>
        <w:rPr>
          <w:b/>
          <w:sz w:val="28"/>
          <w:lang w:eastAsia="zh-CN"/>
        </w:rPr>
        <w:t>原则</w:t>
      </w:r>
    </w:p>
    <w:p w14:paraId="2675A511">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（一）有效性与</w:t>
      </w:r>
      <w:r>
        <w:rPr>
          <w:rFonts w:hint="eastAsia"/>
          <w:b/>
          <w:lang w:eastAsia="zh-CN"/>
        </w:rPr>
        <w:t>唯一性</w:t>
      </w:r>
      <w:r>
        <w:rPr>
          <w:b/>
          <w:lang w:eastAsia="zh-CN"/>
        </w:rPr>
        <w:t>优先原则</w:t>
      </w:r>
    </w:p>
    <w:p w14:paraId="3D0408C3">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报告表应具备有效性和</w:t>
      </w:r>
      <w:r>
        <w:rPr>
          <w:rFonts w:hint="eastAsia"/>
          <w:lang w:eastAsia="zh-CN"/>
        </w:rPr>
        <w:t>唯一性</w:t>
      </w:r>
      <w:r>
        <w:rPr>
          <w:lang w:eastAsia="zh-CN"/>
        </w:rPr>
        <w:t>。能够判断报告来源、调查时间和调查对象，是进入后续质量</w:t>
      </w:r>
      <w:r>
        <w:rPr>
          <w:rFonts w:hint="eastAsia"/>
          <w:lang w:eastAsia="zh-CN"/>
        </w:rPr>
        <w:t>评估</w:t>
      </w:r>
      <w:r>
        <w:rPr>
          <w:lang w:eastAsia="zh-CN"/>
        </w:rPr>
        <w:t>的前提。</w:t>
      </w:r>
      <w:r>
        <w:rPr>
          <w:rFonts w:hint="eastAsia"/>
          <w:lang w:eastAsia="zh-CN"/>
        </w:rPr>
        <w:t>系统</w:t>
      </w:r>
      <w:r>
        <w:rPr>
          <w:lang w:eastAsia="zh-CN"/>
        </w:rPr>
        <w:t>编号由电子上报系统自动生成，可作为追溯、聚合和去重依据，不作为报告人手工填写质量扣分项。</w:t>
      </w:r>
    </w:p>
    <w:p w14:paraId="0B886A79">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（二）完整性与规范性并重原则</w:t>
      </w:r>
    </w:p>
    <w:p w14:paraId="35631170">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报告表质量评估既关注信息是否填写完整，也关注已填写信息是否规范、准确和逻辑一致。完整性评</w:t>
      </w:r>
      <w:r>
        <w:rPr>
          <w:rFonts w:hint="eastAsia"/>
          <w:lang w:eastAsia="zh-CN"/>
        </w:rPr>
        <w:t>估</w:t>
      </w:r>
      <w:r>
        <w:rPr>
          <w:lang w:eastAsia="zh-CN"/>
        </w:rPr>
        <w:t>信息是否“填全”，规范性评</w:t>
      </w:r>
      <w:r>
        <w:rPr>
          <w:rFonts w:hint="eastAsia"/>
          <w:lang w:eastAsia="zh-CN"/>
        </w:rPr>
        <w:t>估</w:t>
      </w:r>
      <w:r>
        <w:rPr>
          <w:lang w:eastAsia="zh-CN"/>
        </w:rPr>
        <w:t>信息是否“填准</w:t>
      </w:r>
      <w:r>
        <w:rPr>
          <w:rFonts w:hint="eastAsia"/>
          <w:lang w:eastAsia="zh-CN"/>
        </w:rPr>
        <w:t>确</w:t>
      </w:r>
      <w:r>
        <w:rPr>
          <w:lang w:eastAsia="zh-CN"/>
        </w:rPr>
        <w:t>、填清楚、填合理”。</w:t>
      </w:r>
    </w:p>
    <w:p w14:paraId="3EECF05E">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（三）及时性与时效价值原则</w:t>
      </w:r>
    </w:p>
    <w:p w14:paraId="7F412ED8">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药物滥用监测具有一定</w:t>
      </w:r>
      <w:r>
        <w:rPr>
          <w:rFonts w:hint="eastAsia"/>
          <w:lang w:eastAsia="zh-CN"/>
        </w:rPr>
        <w:t>的</w:t>
      </w:r>
      <w:r>
        <w:rPr>
          <w:lang w:eastAsia="zh-CN"/>
        </w:rPr>
        <w:t>时间敏感性，及时上报有助于监测机构尽早掌握药物滥用变化趋势、识别风险信号，并开展相应分析研判和管理干预。及时性评</w:t>
      </w:r>
      <w:r>
        <w:rPr>
          <w:rFonts w:hint="eastAsia"/>
          <w:lang w:eastAsia="zh-CN"/>
        </w:rPr>
        <w:t>估</w:t>
      </w:r>
      <w:r>
        <w:rPr>
          <w:lang w:eastAsia="zh-CN"/>
        </w:rPr>
        <w:t>应以报告表填表日期和电子系统提交时间为基础；如导出数据暂无法获得相关时间戳，可将及时性作为报告单位质量管理指标另行评</w:t>
      </w:r>
      <w:r>
        <w:rPr>
          <w:rFonts w:hint="eastAsia"/>
          <w:lang w:eastAsia="zh-CN"/>
        </w:rPr>
        <w:t>估</w:t>
      </w:r>
      <w:r>
        <w:rPr>
          <w:lang w:eastAsia="zh-CN"/>
        </w:rPr>
        <w:t>。</w:t>
      </w:r>
    </w:p>
    <w:p w14:paraId="34E017F3">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（四）公共卫生价值导向原则</w:t>
      </w:r>
    </w:p>
    <w:p w14:paraId="3EB74A88">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药物滥用监测的目的不仅在于收集个案信息，更在于发现滥用趋势、识别高风险行为和支持公共卫生决策。因此，对于能够提示新发或罕见滥用</w:t>
      </w:r>
      <w:r>
        <w:rPr>
          <w:rFonts w:hint="eastAsia"/>
          <w:lang w:eastAsia="zh-CN"/>
        </w:rPr>
        <w:t>药品（物质）</w:t>
      </w:r>
      <w:r>
        <w:rPr>
          <w:lang w:eastAsia="zh-CN"/>
        </w:rPr>
        <w:t>、多药滥用、高风险行为、重点人群、</w:t>
      </w:r>
      <w:r>
        <w:rPr>
          <w:rFonts w:hint="eastAsia"/>
          <w:lang w:eastAsia="zh-CN"/>
        </w:rPr>
        <w:t>非法获得途径、</w:t>
      </w:r>
      <w:r>
        <w:rPr>
          <w:lang w:eastAsia="zh-CN"/>
        </w:rPr>
        <w:t>感染风险或反复戒毒情况的报告表，应在评</w:t>
      </w:r>
      <w:r>
        <w:rPr>
          <w:rFonts w:hint="eastAsia"/>
          <w:lang w:eastAsia="zh-CN"/>
        </w:rPr>
        <w:t>估</w:t>
      </w:r>
      <w:r>
        <w:rPr>
          <w:lang w:eastAsia="zh-CN"/>
        </w:rPr>
        <w:t>结果中体现其公共卫生价值。公共卫生价值评分主要用于识别高价值报告，不作为普通报告“质量较差”的判断依据。</w:t>
      </w:r>
    </w:p>
    <w:p w14:paraId="61957DBC">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（五）可操作性与持续改进原则</w:t>
      </w:r>
    </w:p>
    <w:p w14:paraId="76E02631">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考虑到质量评估标准需要在实际监测管理中应用，本标准采用加法模型，同时呈现内容质量评分、公共卫生价值评分和综合应用评分，便于人工评分、结果解释、单位反馈和后续信息化改造。</w:t>
      </w:r>
      <w:r>
        <w:rPr>
          <w:rFonts w:hint="eastAsia"/>
          <w:lang w:eastAsia="zh-CN"/>
        </w:rPr>
        <w:t>评估</w:t>
      </w:r>
      <w:r>
        <w:rPr>
          <w:lang w:eastAsia="zh-CN"/>
        </w:rPr>
        <w:t>结果主要用于发现问题、反馈问题和促进报告质量持续改进，而</w:t>
      </w:r>
      <w:r>
        <w:rPr>
          <w:rFonts w:hint="eastAsia"/>
          <w:lang w:eastAsia="zh-CN"/>
        </w:rPr>
        <w:t>非</w:t>
      </w:r>
      <w:r>
        <w:rPr>
          <w:lang w:eastAsia="zh-CN"/>
        </w:rPr>
        <w:t>评分排序。</w:t>
      </w:r>
    </w:p>
    <w:p w14:paraId="7C106FA1">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sz w:val="28"/>
          <w:lang w:eastAsia="zh-CN"/>
        </w:rPr>
        <w:t>四、</w:t>
      </w:r>
      <w:r>
        <w:rPr>
          <w:rFonts w:hint="eastAsia"/>
          <w:b/>
          <w:sz w:val="28"/>
          <w:lang w:eastAsia="zh-CN"/>
        </w:rPr>
        <w:t>评估</w:t>
      </w:r>
      <w:r>
        <w:rPr>
          <w:b/>
          <w:sz w:val="28"/>
          <w:lang w:eastAsia="zh-CN"/>
        </w:rPr>
        <w:t>流程</w:t>
      </w:r>
    </w:p>
    <w:p w14:paraId="397C0FC9">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每份报告表按以下流程进行</w:t>
      </w:r>
      <w:r>
        <w:rPr>
          <w:rFonts w:hint="eastAsia"/>
          <w:lang w:eastAsia="zh-CN"/>
        </w:rPr>
        <w:t>评估</w:t>
      </w:r>
      <w:r>
        <w:rPr>
          <w:lang w:eastAsia="zh-CN"/>
        </w:rPr>
        <w:t>：</w:t>
      </w:r>
    </w:p>
    <w:p w14:paraId="36871325">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（一）数据预处理：识别电子系统导出数据的评分单元，按</w:t>
      </w:r>
      <w:r>
        <w:rPr>
          <w:rFonts w:hint="eastAsia"/>
          <w:lang w:eastAsia="zh-CN"/>
        </w:rPr>
        <w:t>系统编号或</w:t>
      </w:r>
      <w:r>
        <w:rPr>
          <w:lang w:eastAsia="zh-CN"/>
        </w:rPr>
        <w:t>表格编号将同一报告表的多行记录聚合为一份报告；</w:t>
      </w:r>
    </w:p>
    <w:p w14:paraId="2F910A73">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（二）基础核查：判断报告表是否具备有效性和</w:t>
      </w:r>
      <w:r>
        <w:rPr>
          <w:rFonts w:hint="eastAsia"/>
          <w:lang w:eastAsia="zh-CN"/>
        </w:rPr>
        <w:t>唯一性</w:t>
      </w:r>
      <w:r>
        <w:rPr>
          <w:lang w:eastAsia="zh-CN"/>
        </w:rPr>
        <w:t>；</w:t>
      </w:r>
    </w:p>
    <w:p w14:paraId="109FFCE8">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（三）维度评分：对通过基础核查的报告表，从完整性、规范性、及时性和公共卫生意义四个维度进行评分；</w:t>
      </w:r>
    </w:p>
    <w:p w14:paraId="51DED1A4">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（四）计算结果：分别计算内容质量评分、公共卫生价值评分和综合应用评分；</w:t>
      </w:r>
    </w:p>
    <w:p w14:paraId="16F47B4A">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（五）质量分级：以内容质量评分为主划分填报质量等级，同时识别具有较高公共卫生价值的报告；</w:t>
      </w:r>
    </w:p>
    <w:p w14:paraId="3C61204E">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（六）问题反馈：根据失分项目识别主要质量问题，并向报告单位反馈改进建议。</w:t>
      </w:r>
    </w:p>
    <w:p w14:paraId="33708690">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rFonts w:hint="eastAsia"/>
          <w:b/>
          <w:sz w:val="28"/>
          <w:lang w:eastAsia="zh-CN"/>
        </w:rPr>
        <w:t>五</w:t>
      </w:r>
      <w:r>
        <w:rPr>
          <w:b/>
          <w:sz w:val="28"/>
          <w:lang w:eastAsia="zh-CN"/>
        </w:rPr>
        <w:t>、基础核查：有效性与唯一性</w:t>
      </w:r>
    </w:p>
    <w:p w14:paraId="327CAC7C">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基础核查不计入总分，但作为报告表是否进入后续评分的准入条件。</w:t>
      </w:r>
    </w:p>
    <w:p w14:paraId="714ED3A7">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（一）有效性核查</w:t>
      </w:r>
    </w:p>
    <w:p w14:paraId="095C5E86">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出现以下任一情况，判定为有效性不通过，不进入后续评分：</w:t>
      </w:r>
    </w:p>
    <w:p w14:paraId="059A4301">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1.</w:t>
      </w:r>
      <w:r>
        <w:rPr>
          <w:rFonts w:hint="eastAsia"/>
          <w:lang w:eastAsia="zh-CN"/>
        </w:rPr>
        <w:t>虚假报表：通过对患者基本情况、报告来源、报告单位信息、其他相关信息以及逻辑判断等对报告对的真实性产生怀疑时，</w:t>
      </w:r>
      <w:r>
        <w:rPr>
          <w:lang w:eastAsia="zh-CN"/>
        </w:rPr>
        <w:t>启动人工核实程序</w:t>
      </w:r>
      <w:r>
        <w:rPr>
          <w:rFonts w:hint="eastAsia"/>
          <w:lang w:eastAsia="zh-CN"/>
        </w:rPr>
        <w:t>，</w:t>
      </w:r>
      <w:r>
        <w:rPr>
          <w:lang w:eastAsia="zh-CN"/>
        </w:rPr>
        <w:t>经调查核实确认为虚</w:t>
      </w:r>
      <w:r>
        <w:rPr>
          <w:rFonts w:hint="eastAsia"/>
          <w:lang w:eastAsia="zh-CN"/>
        </w:rPr>
        <w:t>假的报告</w:t>
      </w:r>
      <w:r>
        <w:rPr>
          <w:lang w:eastAsia="zh-CN"/>
        </w:rPr>
        <w:t>；</w:t>
      </w:r>
    </w:p>
    <w:p w14:paraId="1B5FCF30">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rFonts w:hint="eastAsia"/>
          <w:lang w:eastAsia="zh-CN"/>
        </w:rPr>
        <w:t>2.</w:t>
      </w:r>
      <w:r>
        <w:rPr>
          <w:lang w:eastAsia="zh-CN"/>
        </w:rPr>
        <w:t>过期报</w:t>
      </w:r>
      <w:r>
        <w:rPr>
          <w:rFonts w:hint="eastAsia"/>
          <w:lang w:eastAsia="zh-CN"/>
        </w:rPr>
        <w:t>表</w:t>
      </w:r>
      <w:r>
        <w:rPr>
          <w:lang w:eastAsia="zh-CN"/>
        </w:rPr>
        <w:t>：填表日期在录入年度上一年度 10 月 31 日之前，不属于当期评</w:t>
      </w:r>
      <w:r>
        <w:rPr>
          <w:rFonts w:hint="eastAsia"/>
          <w:lang w:eastAsia="zh-CN"/>
        </w:rPr>
        <w:t>估</w:t>
      </w:r>
      <w:r>
        <w:rPr>
          <w:lang w:eastAsia="zh-CN"/>
        </w:rPr>
        <w:t>周期内的有效监测</w:t>
      </w:r>
      <w:r>
        <w:rPr>
          <w:rFonts w:hint="eastAsia"/>
          <w:lang w:eastAsia="zh-CN"/>
        </w:rPr>
        <w:t>报告；</w:t>
      </w:r>
    </w:p>
    <w:p w14:paraId="5657CBEF">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rFonts w:hint="eastAsia"/>
          <w:lang w:eastAsia="zh-CN"/>
        </w:rPr>
        <w:t>3.</w:t>
      </w:r>
      <w:r>
        <w:rPr>
          <w:lang w:eastAsia="zh-CN"/>
        </w:rPr>
        <w:t>非报告范围报表：用于戒断维持治疗、疾病治疗</w:t>
      </w:r>
      <w:r>
        <w:rPr>
          <w:rFonts w:hint="eastAsia"/>
          <w:lang w:eastAsia="zh-CN"/>
        </w:rPr>
        <w:t>，来源于医疗机构</w:t>
      </w:r>
      <w:r>
        <w:rPr>
          <w:lang w:eastAsia="zh-CN"/>
        </w:rPr>
        <w:t>等合法途径，按正常用法用量或医生处方使用的药品报表（如美沙酮口服液、丁丙诺啡及其他含麻精药品成分处方药</w:t>
      </w:r>
      <w:r>
        <w:rPr>
          <w:rFonts w:hint="eastAsia"/>
          <w:lang w:eastAsia="zh-CN"/>
        </w:rPr>
        <w:t>、非处方药</w:t>
      </w:r>
      <w:r>
        <w:rPr>
          <w:lang w:eastAsia="zh-CN"/>
        </w:rPr>
        <w:t>等</w:t>
      </w:r>
      <w:r>
        <w:rPr>
          <w:rFonts w:hint="eastAsia"/>
          <w:lang w:eastAsia="zh-CN"/>
        </w:rPr>
        <w:t>药品</w:t>
      </w:r>
      <w:r>
        <w:rPr>
          <w:lang w:eastAsia="zh-CN"/>
        </w:rPr>
        <w:t>），不属于药物滥用监测报告范畴</w:t>
      </w:r>
      <w:r>
        <w:rPr>
          <w:rFonts w:hint="eastAsia"/>
          <w:lang w:eastAsia="zh-CN"/>
        </w:rPr>
        <w:t>；</w:t>
      </w:r>
    </w:p>
    <w:p w14:paraId="13A78CAA">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rFonts w:hint="eastAsia"/>
          <w:lang w:eastAsia="zh-CN"/>
        </w:rPr>
        <w:t>4</w:t>
      </w:r>
      <w:r>
        <w:rPr>
          <w:lang w:eastAsia="zh-CN"/>
        </w:rPr>
        <w:t>.填表日期、报告单位及调查对象识别信息均缺失，导致无法判断报告来源、调查时间和调查对象；</w:t>
      </w:r>
    </w:p>
    <w:p w14:paraId="04F75733">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rFonts w:hint="eastAsia"/>
          <w:lang w:eastAsia="zh-CN"/>
        </w:rPr>
        <w:t>5.</w:t>
      </w:r>
      <w:r>
        <w:rPr>
          <w:lang w:eastAsia="zh-CN"/>
        </w:rPr>
        <w:t>“过去12个月曾经滥用药物”未选择任何药物，且“主要滥用药物”未填写任何内容；</w:t>
      </w:r>
    </w:p>
    <w:p w14:paraId="57E074BC">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rFonts w:hint="eastAsia"/>
          <w:lang w:eastAsia="zh-CN"/>
        </w:rPr>
        <w:t>6</w:t>
      </w:r>
      <w:r>
        <w:rPr>
          <w:lang w:eastAsia="zh-CN"/>
        </w:rPr>
        <w:t>.报告内容明显不符合药物滥用监测报告表基本要求，无法用于药物滥用监测分析</w:t>
      </w:r>
      <w:r>
        <w:rPr>
          <w:rFonts w:hint="eastAsia"/>
          <w:lang w:eastAsia="zh-CN"/>
        </w:rPr>
        <w:t>。</w:t>
      </w:r>
    </w:p>
    <w:p w14:paraId="405D2A20">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说明：姓名、</w:t>
      </w:r>
      <w:r>
        <w:rPr>
          <w:rFonts w:hint="eastAsia"/>
          <w:lang w:eastAsia="zh-CN"/>
        </w:rPr>
        <w:t>出生日期、</w:t>
      </w:r>
      <w:r>
        <w:rPr>
          <w:lang w:eastAsia="zh-CN"/>
        </w:rPr>
        <w:t>身份证号</w:t>
      </w:r>
      <w:r>
        <w:rPr>
          <w:rFonts w:hint="eastAsia"/>
          <w:lang w:eastAsia="zh-CN"/>
        </w:rPr>
        <w:t>（若填写）</w:t>
      </w:r>
      <w:r>
        <w:rPr>
          <w:lang w:eastAsia="zh-CN"/>
        </w:rPr>
        <w:t>、病历号</w:t>
      </w:r>
      <w:r>
        <w:rPr>
          <w:rFonts w:hint="eastAsia"/>
          <w:lang w:eastAsia="zh-CN"/>
        </w:rPr>
        <w:t>（</w:t>
      </w:r>
      <w:r>
        <w:rPr>
          <w:lang w:eastAsia="zh-CN"/>
        </w:rPr>
        <w:t>或档案号</w:t>
      </w:r>
      <w:r>
        <w:rPr>
          <w:rFonts w:hint="eastAsia"/>
          <w:lang w:eastAsia="zh-CN"/>
        </w:rPr>
        <w:t>）</w:t>
      </w:r>
      <w:r>
        <w:rPr>
          <w:lang w:eastAsia="zh-CN"/>
        </w:rPr>
        <w:t>等信息可作为调查对象识别依据。考虑到隐私保护和电子系统管理实际</w:t>
      </w:r>
      <w:r>
        <w:rPr>
          <w:rFonts w:hint="eastAsia"/>
          <w:lang w:eastAsia="zh-CN"/>
        </w:rPr>
        <w:t>情况</w:t>
      </w:r>
      <w:r>
        <w:rPr>
          <w:lang w:eastAsia="zh-CN"/>
        </w:rPr>
        <w:t>，不能将姓名</w:t>
      </w:r>
      <w:r>
        <w:rPr>
          <w:rFonts w:hint="eastAsia"/>
          <w:lang w:eastAsia="zh-CN"/>
        </w:rPr>
        <w:t>等</w:t>
      </w:r>
      <w:r>
        <w:rPr>
          <w:lang w:eastAsia="zh-CN"/>
        </w:rPr>
        <w:t>单项缺失直接判定为无效报告</w:t>
      </w:r>
      <w:r>
        <w:rPr>
          <w:rFonts w:hint="eastAsia"/>
          <w:lang w:eastAsia="zh-CN"/>
        </w:rPr>
        <w:t>，</w:t>
      </w:r>
      <w:r>
        <w:rPr>
          <w:lang w:eastAsia="zh-CN"/>
        </w:rPr>
        <w:t>只要报告表具有可追溯的对象识别信息和报告来源，即可进入后续评分。</w:t>
      </w:r>
    </w:p>
    <w:p w14:paraId="6B97DD0C">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b/>
          <w:lang w:eastAsia="zh-CN"/>
        </w:rPr>
        <w:t>（二）唯一性核查</w:t>
      </w:r>
    </w:p>
    <w:p w14:paraId="0F27FDCF">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通过</w:t>
      </w:r>
      <w:r>
        <w:rPr>
          <w:rFonts w:hint="eastAsia"/>
          <w:lang w:eastAsia="zh-CN"/>
        </w:rPr>
        <w:t>系统编号或表格</w:t>
      </w:r>
      <w:r>
        <w:rPr>
          <w:lang w:eastAsia="zh-CN"/>
        </w:rPr>
        <w:t>编号、姓名、身份证号</w:t>
      </w:r>
      <w:r>
        <w:rPr>
          <w:rFonts w:hint="eastAsia"/>
          <w:lang w:eastAsia="zh-CN"/>
        </w:rPr>
        <w:t>（若填写）</w:t>
      </w:r>
      <w:r>
        <w:rPr>
          <w:lang w:eastAsia="zh-CN"/>
        </w:rPr>
        <w:t>、病历号</w:t>
      </w:r>
      <w:r>
        <w:rPr>
          <w:rFonts w:hint="eastAsia"/>
          <w:lang w:eastAsia="zh-CN"/>
        </w:rPr>
        <w:t>（</w:t>
      </w:r>
      <w:r>
        <w:rPr>
          <w:lang w:eastAsia="zh-CN"/>
        </w:rPr>
        <w:t>或档案号</w:t>
      </w:r>
      <w:r>
        <w:rPr>
          <w:rFonts w:hint="eastAsia"/>
          <w:lang w:eastAsia="zh-CN"/>
        </w:rPr>
        <w:t>）</w:t>
      </w:r>
      <w:r>
        <w:rPr>
          <w:lang w:eastAsia="zh-CN"/>
        </w:rPr>
        <w:t>、出生日期、填表日期、报告单位、主要滥用药物等字段进行比对。在本次收治/收戒期间，</w:t>
      </w:r>
      <w:r>
        <w:rPr>
          <w:rFonts w:hint="eastAsia"/>
          <w:lang w:eastAsia="zh-CN"/>
        </w:rPr>
        <w:t>同</w:t>
      </w:r>
      <w:r>
        <w:rPr>
          <w:lang w:eastAsia="zh-CN"/>
        </w:rPr>
        <w:t>一药物滥用者（姓名及出生日期相同）在同一报告单位报告的两份及以上报告表；在两次收治/收戒期间，同一药物滥用者（姓名及出生日期相同）在同一报告单位填报报告表间隔小于等于15天报告的两份及以上报告表，均判定为重复报</w:t>
      </w:r>
      <w:r>
        <w:rPr>
          <w:rFonts w:hint="eastAsia"/>
          <w:lang w:eastAsia="zh-CN"/>
        </w:rPr>
        <w:t>表</w:t>
      </w:r>
      <w:r>
        <w:rPr>
          <w:lang w:eastAsia="zh-CN"/>
        </w:rPr>
        <w:t>。重复</w:t>
      </w:r>
      <w:r>
        <w:rPr>
          <w:rFonts w:hint="eastAsia"/>
          <w:lang w:eastAsia="zh-CN"/>
        </w:rPr>
        <w:t>报表</w:t>
      </w:r>
      <w:r>
        <w:rPr>
          <w:lang w:eastAsia="zh-CN"/>
        </w:rPr>
        <w:t>中仅保留 1 份有效报表进入后续评分，其余全部不纳入质量评分。</w:t>
      </w:r>
    </w:p>
    <w:p w14:paraId="4819C0F1">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说明：唯一性核查的比对范围仅限已通过有效性核查的有效监测报表；非报告范围报表、过期报表等已在有效性环节剔除的报表，不纳入唯一性比对范围，避免无效比对。</w:t>
      </w:r>
    </w:p>
    <w:p w14:paraId="625B70A3">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lang w:eastAsia="zh-CN"/>
        </w:rPr>
      </w:pPr>
      <w:r>
        <w:rPr>
          <w:rFonts w:hint="eastAsia"/>
          <w:b/>
          <w:sz w:val="28"/>
          <w:lang w:eastAsia="zh-CN"/>
        </w:rPr>
        <w:t>六</w:t>
      </w:r>
      <w:r>
        <w:rPr>
          <w:b/>
          <w:sz w:val="28"/>
          <w:lang w:eastAsia="zh-CN"/>
        </w:rPr>
        <w:t>、评分结果构成</w:t>
      </w:r>
    </w:p>
    <w:p w14:paraId="655D9127">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lang w:eastAsia="zh-CN"/>
        </w:rPr>
      </w:pPr>
      <w:r>
        <w:rPr>
          <w:lang w:eastAsia="zh-CN"/>
        </w:rPr>
        <w:t>本标准建议同时形成三个结果：内容质量评分、公共卫生价值评分和综合应用评分。</w:t>
      </w:r>
    </w:p>
    <w:p w14:paraId="552D9F88">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3110"/>
        <w:gridCol w:w="1230"/>
        <w:gridCol w:w="3337"/>
      </w:tblGrid>
      <w:tr w14:paraId="2DB4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shd w:val="clear" w:color="auto" w:fill="D9EAF7"/>
            <w:vAlign w:val="center"/>
          </w:tcPr>
          <w:p w14:paraId="48323398">
            <w:pPr>
              <w:spacing w:after="0"/>
              <w:jc w:val="both"/>
              <w:rPr>
                <w:rFonts w:hint="eastAsia"/>
              </w:rPr>
            </w:pPr>
            <w:r>
              <w:rPr>
                <w:b/>
                <w:sz w:val="21"/>
              </w:rPr>
              <w:t>评分结果</w:t>
            </w:r>
          </w:p>
        </w:tc>
        <w:tc>
          <w:tcPr>
            <w:tcW w:w="3175" w:type="dxa"/>
            <w:shd w:val="clear" w:color="auto" w:fill="D9EAF7"/>
            <w:vAlign w:val="center"/>
          </w:tcPr>
          <w:p w14:paraId="149C8EAF">
            <w:pPr>
              <w:spacing w:after="0"/>
              <w:jc w:val="both"/>
              <w:rPr>
                <w:rFonts w:hint="eastAsia"/>
              </w:rPr>
            </w:pPr>
            <w:r>
              <w:rPr>
                <w:b/>
                <w:sz w:val="21"/>
              </w:rPr>
              <w:t>构成</w:t>
            </w:r>
          </w:p>
        </w:tc>
        <w:tc>
          <w:tcPr>
            <w:tcW w:w="1247" w:type="dxa"/>
            <w:shd w:val="clear" w:color="auto" w:fill="D9EAF7"/>
            <w:vAlign w:val="center"/>
          </w:tcPr>
          <w:p w14:paraId="0CCD9BD8">
            <w:pPr>
              <w:spacing w:after="0"/>
              <w:jc w:val="both"/>
              <w:rPr>
                <w:rFonts w:hint="eastAsia"/>
              </w:rPr>
            </w:pPr>
            <w:r>
              <w:rPr>
                <w:b/>
                <w:sz w:val="21"/>
              </w:rPr>
              <w:t>满分</w:t>
            </w:r>
          </w:p>
        </w:tc>
        <w:tc>
          <w:tcPr>
            <w:tcW w:w="3402" w:type="dxa"/>
            <w:shd w:val="clear" w:color="auto" w:fill="D9EAF7"/>
            <w:vAlign w:val="center"/>
          </w:tcPr>
          <w:p w14:paraId="65A81FFC">
            <w:pPr>
              <w:spacing w:after="0"/>
              <w:jc w:val="both"/>
              <w:rPr>
                <w:rFonts w:hint="eastAsia"/>
              </w:rPr>
            </w:pPr>
            <w:r>
              <w:rPr>
                <w:b/>
                <w:sz w:val="21"/>
              </w:rPr>
              <w:t>用途</w:t>
            </w:r>
          </w:p>
        </w:tc>
      </w:tr>
      <w:tr w14:paraId="2C44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Align w:val="center"/>
          </w:tcPr>
          <w:p w14:paraId="2733527D">
            <w:pPr>
              <w:spacing w:after="0"/>
              <w:jc w:val="both"/>
              <w:rPr>
                <w:rFonts w:hint="eastAsia"/>
              </w:rPr>
            </w:pPr>
            <w:r>
              <w:rPr>
                <w:sz w:val="21"/>
              </w:rPr>
              <w:t>内容质量评分</w:t>
            </w:r>
          </w:p>
        </w:tc>
        <w:tc>
          <w:tcPr>
            <w:tcW w:w="3175" w:type="dxa"/>
            <w:vAlign w:val="center"/>
          </w:tcPr>
          <w:p w14:paraId="4B9C1DCD">
            <w:pPr>
              <w:spacing w:after="0"/>
              <w:jc w:val="both"/>
              <w:rPr>
                <w:rFonts w:hint="eastAsia"/>
                <w:lang w:eastAsia="zh-CN"/>
              </w:rPr>
            </w:pPr>
            <w:r>
              <w:rPr>
                <w:sz w:val="21"/>
                <w:lang w:eastAsia="zh-CN"/>
              </w:rPr>
              <w:t>完整性35分 + 规范性30分 + 及时性15分</w:t>
            </w:r>
          </w:p>
        </w:tc>
        <w:tc>
          <w:tcPr>
            <w:tcW w:w="1247" w:type="dxa"/>
            <w:vAlign w:val="center"/>
          </w:tcPr>
          <w:p w14:paraId="2C821191">
            <w:pPr>
              <w:spacing w:after="0"/>
              <w:jc w:val="both"/>
              <w:rPr>
                <w:rFonts w:hint="eastAsia"/>
              </w:rPr>
            </w:pPr>
            <w:r>
              <w:rPr>
                <w:sz w:val="21"/>
              </w:rPr>
              <w:t>80分</w:t>
            </w:r>
          </w:p>
        </w:tc>
        <w:tc>
          <w:tcPr>
            <w:tcW w:w="3402" w:type="dxa"/>
            <w:vAlign w:val="center"/>
          </w:tcPr>
          <w:p w14:paraId="4C60945F">
            <w:pPr>
              <w:spacing w:after="0"/>
              <w:jc w:val="both"/>
              <w:rPr>
                <w:rFonts w:hint="eastAsia"/>
                <w:lang w:eastAsia="zh-CN"/>
              </w:rPr>
            </w:pPr>
            <w:r>
              <w:rPr>
                <w:sz w:val="21"/>
                <w:lang w:eastAsia="zh-CN"/>
              </w:rPr>
              <w:t>主要用于评估报告单位填报质量和划分填报质量等级。</w:t>
            </w:r>
          </w:p>
        </w:tc>
      </w:tr>
      <w:tr w14:paraId="47D3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Align w:val="center"/>
          </w:tcPr>
          <w:p w14:paraId="182F0AF9">
            <w:pPr>
              <w:spacing w:after="0"/>
              <w:jc w:val="both"/>
              <w:rPr>
                <w:rFonts w:hint="eastAsia"/>
              </w:rPr>
            </w:pPr>
            <w:r>
              <w:rPr>
                <w:sz w:val="21"/>
              </w:rPr>
              <w:t>公共卫生价值评分</w:t>
            </w:r>
          </w:p>
        </w:tc>
        <w:tc>
          <w:tcPr>
            <w:tcW w:w="3175" w:type="dxa"/>
            <w:vAlign w:val="center"/>
          </w:tcPr>
          <w:p w14:paraId="1600D406">
            <w:pPr>
              <w:spacing w:after="0"/>
              <w:jc w:val="both"/>
              <w:rPr>
                <w:rFonts w:hint="eastAsia"/>
              </w:rPr>
            </w:pPr>
            <w:r>
              <w:rPr>
                <w:sz w:val="21"/>
              </w:rPr>
              <w:t>公共卫生意义维度</w:t>
            </w:r>
          </w:p>
        </w:tc>
        <w:tc>
          <w:tcPr>
            <w:tcW w:w="1247" w:type="dxa"/>
            <w:vAlign w:val="center"/>
          </w:tcPr>
          <w:p w14:paraId="48854F6F">
            <w:pPr>
              <w:spacing w:after="0"/>
              <w:jc w:val="both"/>
              <w:rPr>
                <w:rFonts w:hint="eastAsia"/>
              </w:rPr>
            </w:pPr>
            <w:r>
              <w:rPr>
                <w:sz w:val="21"/>
              </w:rPr>
              <w:t>20分</w:t>
            </w:r>
          </w:p>
        </w:tc>
        <w:tc>
          <w:tcPr>
            <w:tcW w:w="3402" w:type="dxa"/>
            <w:vAlign w:val="center"/>
          </w:tcPr>
          <w:p w14:paraId="55FDB8E6">
            <w:pPr>
              <w:spacing w:after="0"/>
              <w:jc w:val="both"/>
              <w:rPr>
                <w:rFonts w:hint="eastAsia"/>
                <w:lang w:eastAsia="zh-CN"/>
              </w:rPr>
            </w:pPr>
            <w:r>
              <w:rPr>
                <w:sz w:val="21"/>
                <w:lang w:eastAsia="zh-CN"/>
              </w:rPr>
              <w:t>主要用于识别具有预警价值、风险识别价值或重点关注价值的报告。</w:t>
            </w:r>
          </w:p>
        </w:tc>
      </w:tr>
      <w:tr w14:paraId="1D5B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Align w:val="center"/>
          </w:tcPr>
          <w:p w14:paraId="16168D4A">
            <w:pPr>
              <w:spacing w:after="0"/>
              <w:jc w:val="both"/>
              <w:rPr>
                <w:rFonts w:hint="eastAsia"/>
              </w:rPr>
            </w:pPr>
            <w:r>
              <w:rPr>
                <w:sz w:val="21"/>
              </w:rPr>
              <w:t>综合应用评分</w:t>
            </w:r>
          </w:p>
        </w:tc>
        <w:tc>
          <w:tcPr>
            <w:tcW w:w="3175" w:type="dxa"/>
            <w:vAlign w:val="center"/>
          </w:tcPr>
          <w:p w14:paraId="2950B772">
            <w:pPr>
              <w:spacing w:after="0"/>
              <w:jc w:val="both"/>
              <w:rPr>
                <w:rFonts w:hint="eastAsia"/>
                <w:lang w:eastAsia="zh-CN"/>
              </w:rPr>
            </w:pPr>
            <w:r>
              <w:rPr>
                <w:sz w:val="21"/>
                <w:lang w:eastAsia="zh-CN"/>
              </w:rPr>
              <w:t>内容质量评分 + 公共卫生价值评分</w:t>
            </w:r>
          </w:p>
        </w:tc>
        <w:tc>
          <w:tcPr>
            <w:tcW w:w="1247" w:type="dxa"/>
            <w:vAlign w:val="center"/>
          </w:tcPr>
          <w:p w14:paraId="4FCE45D9">
            <w:pPr>
              <w:spacing w:after="0"/>
              <w:jc w:val="both"/>
              <w:rPr>
                <w:rFonts w:hint="eastAsia"/>
              </w:rPr>
            </w:pPr>
            <w:r>
              <w:rPr>
                <w:sz w:val="21"/>
              </w:rPr>
              <w:t>100分</w:t>
            </w:r>
          </w:p>
        </w:tc>
        <w:tc>
          <w:tcPr>
            <w:tcW w:w="3402" w:type="dxa"/>
            <w:vAlign w:val="center"/>
          </w:tcPr>
          <w:p w14:paraId="1FA2BDCA">
            <w:pPr>
              <w:spacing w:after="0"/>
              <w:jc w:val="both"/>
              <w:rPr>
                <w:rFonts w:hint="eastAsia"/>
                <w:lang w:eastAsia="zh-CN"/>
              </w:rPr>
            </w:pPr>
            <w:r>
              <w:rPr>
                <w:sz w:val="21"/>
                <w:lang w:eastAsia="zh-CN"/>
              </w:rPr>
              <w:t>用于综合分析报告表的数据可用性和公共卫生应用价值。</w:t>
            </w:r>
          </w:p>
        </w:tc>
      </w:tr>
    </w:tbl>
    <w:p w14:paraId="02C54F10">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内容质量评分可按百分制折算：内容质量百分制得分 = 内容质量评分 ÷ 80 × 100。报告单位质量反馈和常规质量等级划分，建议以内容质量百分制得分为主。</w:t>
      </w:r>
    </w:p>
    <w:p w14:paraId="0550CABE">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公共卫生价值评分不是对普通报告的扣分项。没有报告新型物质、多药滥用、注射行为、感染风险或反复戒毒等情况，并不意味着该报告表填报质量差。</w:t>
      </w:r>
    </w:p>
    <w:p w14:paraId="565155B0">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如电子上报系统导出数据暂不能提供系统提交时间等时间戳，可先形成65分制内容基础评分（完整性35分 + 规范性30分），并折算为百分制；同时将及时性作为报告单位或地区层面的质量管理指标单独统计。</w:t>
      </w:r>
    </w:p>
    <w:p w14:paraId="66C429EB">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b/>
          <w:sz w:val="28"/>
          <w:lang w:eastAsia="zh-CN"/>
        </w:rPr>
      </w:pPr>
      <w:r>
        <w:rPr>
          <w:rFonts w:hint="eastAsia"/>
          <w:b/>
          <w:sz w:val="28"/>
          <w:lang w:eastAsia="zh-CN"/>
        </w:rPr>
        <w:t>七</w:t>
      </w:r>
      <w:r>
        <w:rPr>
          <w:b/>
          <w:sz w:val="28"/>
          <w:lang w:eastAsia="zh-CN"/>
        </w:rPr>
        <w:t>、</w:t>
      </w:r>
      <w:r>
        <w:rPr>
          <w:rFonts w:hint="eastAsia"/>
          <w:b/>
          <w:sz w:val="28"/>
          <w:lang w:eastAsia="zh-CN"/>
        </w:rPr>
        <w:t>评分标准</w:t>
      </w:r>
    </w:p>
    <w:p w14:paraId="150444DB">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b/>
          <w:szCs w:val="24"/>
          <w:lang w:eastAsia="zh-CN"/>
        </w:rPr>
      </w:pPr>
      <w:r>
        <w:rPr>
          <w:rFonts w:hint="eastAsia"/>
          <w:b/>
          <w:szCs w:val="24"/>
          <w:lang w:eastAsia="zh-CN"/>
        </w:rPr>
        <w:t>（一）</w:t>
      </w:r>
      <w:r>
        <w:rPr>
          <w:b/>
          <w:szCs w:val="24"/>
          <w:lang w:eastAsia="zh-CN"/>
        </w:rPr>
        <w:t>完整性评</w:t>
      </w:r>
      <w:r>
        <w:rPr>
          <w:rFonts w:hint="eastAsia"/>
          <w:b/>
          <w:szCs w:val="24"/>
          <w:lang w:eastAsia="zh-CN"/>
        </w:rPr>
        <w:t>分</w:t>
      </w:r>
      <w:r>
        <w:rPr>
          <w:b/>
          <w:szCs w:val="24"/>
          <w:lang w:eastAsia="zh-CN"/>
        </w:rPr>
        <w:t>标准，35分</w:t>
      </w:r>
    </w:p>
    <w:p w14:paraId="51260BB0">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完整性主要评估报告表中应填写信息是否完整。字段已按要求填写，且内容非空白、非“不详”、非“未知”、非明显无效内容，即可获得相应分值。</w:t>
      </w:r>
    </w:p>
    <w:p w14:paraId="5606BA09">
      <w:pPr>
        <w:keepNext w:val="0"/>
        <w:keepLines w:val="0"/>
        <w:pageBreakBefore w:val="0"/>
        <w:widowControl/>
        <w:numPr>
          <w:ilvl w:val="0"/>
          <w:numId w:val="7"/>
        </w:numPr>
        <w:kinsoku/>
        <w:wordWrap/>
        <w:overflowPunct/>
        <w:topLinePunct w:val="0"/>
        <w:autoSpaceDE/>
        <w:autoSpaceDN/>
        <w:bidi w:val="0"/>
        <w:adjustRightInd/>
        <w:snapToGrid/>
        <w:spacing w:before="120" w:after="0" w:line="520" w:lineRule="exact"/>
        <w:jc w:val="both"/>
        <w:textAlignment w:val="auto"/>
        <w:rPr>
          <w:b/>
          <w:lang w:eastAsia="zh-CN"/>
        </w:rPr>
      </w:pPr>
      <w:r>
        <w:rPr>
          <w:b/>
          <w:lang w:eastAsia="zh-CN"/>
        </w:rPr>
        <w:t>报告管理、基本识别与人口学信息，1</w:t>
      </w:r>
      <w:r>
        <w:rPr>
          <w:rFonts w:hint="eastAsia"/>
          <w:b/>
          <w:lang w:eastAsia="zh-CN"/>
        </w:rPr>
        <w:t>5</w:t>
      </w:r>
      <w:r>
        <w:rPr>
          <w:b/>
          <w:lang w:eastAsia="zh-CN"/>
        </w:rPr>
        <w:t>分</w:t>
      </w:r>
    </w:p>
    <w:tbl>
      <w:tblPr>
        <w:tblStyle w:val="34"/>
        <w:tblpPr w:leftFromText="180" w:rightFromText="180" w:vertAnchor="text" w:horzAnchor="page" w:tblpX="1668" w:tblpY="27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5216"/>
        <w:gridCol w:w="1134"/>
      </w:tblGrid>
      <w:tr w14:paraId="6482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shd w:val="clear" w:color="auto" w:fill="D9EAF7"/>
            <w:vAlign w:val="center"/>
          </w:tcPr>
          <w:p w14:paraId="2EDDA390">
            <w:pPr>
              <w:spacing w:after="0"/>
              <w:jc w:val="both"/>
              <w:rPr>
                <w:rFonts w:hint="eastAsia"/>
              </w:rPr>
            </w:pPr>
            <w:r>
              <w:rPr>
                <w:b/>
                <w:sz w:val="21"/>
              </w:rPr>
              <w:t>评</w:t>
            </w:r>
            <w:r>
              <w:rPr>
                <w:rFonts w:hint="eastAsia"/>
                <w:b/>
                <w:sz w:val="21"/>
                <w:lang w:eastAsia="zh-CN"/>
              </w:rPr>
              <w:t>分</w:t>
            </w:r>
            <w:r>
              <w:rPr>
                <w:b/>
                <w:sz w:val="21"/>
              </w:rPr>
              <w:t>项目</w:t>
            </w:r>
          </w:p>
        </w:tc>
        <w:tc>
          <w:tcPr>
            <w:tcW w:w="5216" w:type="dxa"/>
            <w:shd w:val="clear" w:color="auto" w:fill="D9EAF7"/>
            <w:vAlign w:val="center"/>
          </w:tcPr>
          <w:p w14:paraId="0247A96A">
            <w:pPr>
              <w:spacing w:after="0"/>
              <w:jc w:val="both"/>
              <w:rPr>
                <w:rFonts w:hint="eastAsia"/>
              </w:rPr>
            </w:pPr>
            <w:r>
              <w:rPr>
                <w:b/>
                <w:sz w:val="21"/>
              </w:rPr>
              <w:t>评分标准</w:t>
            </w:r>
          </w:p>
        </w:tc>
        <w:tc>
          <w:tcPr>
            <w:tcW w:w="1134" w:type="dxa"/>
            <w:shd w:val="clear" w:color="auto" w:fill="D9EAF7"/>
            <w:vAlign w:val="center"/>
          </w:tcPr>
          <w:p w14:paraId="6B120950">
            <w:pPr>
              <w:spacing w:after="0"/>
              <w:jc w:val="both"/>
              <w:rPr>
                <w:rFonts w:hint="eastAsia"/>
              </w:rPr>
            </w:pPr>
            <w:r>
              <w:rPr>
                <w:b/>
                <w:sz w:val="21"/>
              </w:rPr>
              <w:t>分值</w:t>
            </w:r>
          </w:p>
        </w:tc>
      </w:tr>
      <w:tr w14:paraId="1688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69D00BC7">
            <w:pPr>
              <w:spacing w:after="0"/>
              <w:jc w:val="both"/>
              <w:rPr>
                <w:rFonts w:hint="eastAsia"/>
              </w:rPr>
            </w:pPr>
            <w:r>
              <w:rPr>
                <w:sz w:val="21"/>
              </w:rPr>
              <w:t>填表日期</w:t>
            </w:r>
          </w:p>
        </w:tc>
        <w:tc>
          <w:tcPr>
            <w:tcW w:w="5216" w:type="dxa"/>
            <w:vAlign w:val="center"/>
          </w:tcPr>
          <w:p w14:paraId="01E5E8D3">
            <w:pPr>
              <w:spacing w:after="0"/>
              <w:jc w:val="both"/>
              <w:rPr>
                <w:rFonts w:hint="eastAsia"/>
              </w:rPr>
            </w:pPr>
            <w:r>
              <w:rPr>
                <w:sz w:val="21"/>
              </w:rPr>
              <w:t>已填写完整填表日期</w:t>
            </w:r>
          </w:p>
        </w:tc>
        <w:tc>
          <w:tcPr>
            <w:tcW w:w="1134" w:type="dxa"/>
            <w:vAlign w:val="center"/>
          </w:tcPr>
          <w:p w14:paraId="09C0340F">
            <w:pPr>
              <w:spacing w:after="0"/>
              <w:jc w:val="both"/>
              <w:rPr>
                <w:rFonts w:hint="eastAsia"/>
              </w:rPr>
            </w:pPr>
            <w:r>
              <w:rPr>
                <w:rFonts w:hint="eastAsia"/>
                <w:sz w:val="21"/>
                <w:lang w:eastAsia="zh-CN"/>
              </w:rPr>
              <w:t>0.5</w:t>
            </w:r>
            <w:r>
              <w:rPr>
                <w:sz w:val="21"/>
              </w:rPr>
              <w:t>分</w:t>
            </w:r>
          </w:p>
        </w:tc>
      </w:tr>
      <w:tr w14:paraId="7F14B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78F1A322">
            <w:pPr>
              <w:spacing w:after="0"/>
              <w:jc w:val="both"/>
              <w:rPr>
                <w:rFonts w:hint="eastAsia"/>
                <w:lang w:eastAsia="zh-CN"/>
              </w:rPr>
            </w:pPr>
            <w:r>
              <w:rPr>
                <w:sz w:val="21"/>
                <w:lang w:eastAsia="zh-CN"/>
              </w:rPr>
              <w:t>姓名</w:t>
            </w:r>
          </w:p>
        </w:tc>
        <w:tc>
          <w:tcPr>
            <w:tcW w:w="5216" w:type="dxa"/>
            <w:vAlign w:val="center"/>
          </w:tcPr>
          <w:p w14:paraId="6F77B8EA">
            <w:pPr>
              <w:spacing w:after="0"/>
              <w:jc w:val="both"/>
              <w:rPr>
                <w:rFonts w:hint="eastAsia"/>
                <w:lang w:eastAsia="zh-CN"/>
              </w:rPr>
            </w:pPr>
            <w:r>
              <w:rPr>
                <w:sz w:val="21"/>
                <w:lang w:eastAsia="zh-CN"/>
              </w:rPr>
              <w:t>已填写姓名</w:t>
            </w:r>
          </w:p>
        </w:tc>
        <w:tc>
          <w:tcPr>
            <w:tcW w:w="1134" w:type="dxa"/>
            <w:vAlign w:val="center"/>
          </w:tcPr>
          <w:p w14:paraId="2455C4BD">
            <w:pPr>
              <w:spacing w:after="0"/>
              <w:jc w:val="both"/>
              <w:rPr>
                <w:rFonts w:hint="eastAsia"/>
              </w:rPr>
            </w:pPr>
            <w:r>
              <w:rPr>
                <w:rFonts w:hint="eastAsia"/>
                <w:sz w:val="21"/>
                <w:lang w:eastAsia="zh-CN"/>
              </w:rPr>
              <w:t>1.5</w:t>
            </w:r>
            <w:r>
              <w:rPr>
                <w:sz w:val="21"/>
              </w:rPr>
              <w:t>分</w:t>
            </w:r>
          </w:p>
        </w:tc>
      </w:tr>
      <w:tr w14:paraId="1FEE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6DA2F31E">
            <w:pPr>
              <w:spacing w:after="0"/>
              <w:jc w:val="both"/>
              <w:rPr>
                <w:rFonts w:hint="eastAsia"/>
                <w:lang w:eastAsia="zh-CN"/>
              </w:rPr>
            </w:pPr>
            <w:r>
              <w:rPr>
                <w:sz w:val="21"/>
                <w:lang w:eastAsia="zh-CN"/>
              </w:rPr>
              <w:t>病历号</w:t>
            </w:r>
            <w:r>
              <w:rPr>
                <w:rFonts w:hint="eastAsia"/>
                <w:sz w:val="21"/>
                <w:lang w:eastAsia="zh-CN"/>
              </w:rPr>
              <w:t>（</w:t>
            </w:r>
            <w:r>
              <w:rPr>
                <w:sz w:val="21"/>
                <w:lang w:eastAsia="zh-CN"/>
              </w:rPr>
              <w:t>或档案号</w:t>
            </w:r>
            <w:r>
              <w:rPr>
                <w:rFonts w:hint="eastAsia"/>
                <w:sz w:val="21"/>
                <w:lang w:eastAsia="zh-CN"/>
              </w:rPr>
              <w:t>）</w:t>
            </w:r>
          </w:p>
        </w:tc>
        <w:tc>
          <w:tcPr>
            <w:tcW w:w="5216" w:type="dxa"/>
            <w:vAlign w:val="center"/>
          </w:tcPr>
          <w:p w14:paraId="36797309">
            <w:pPr>
              <w:spacing w:after="0"/>
              <w:jc w:val="both"/>
              <w:rPr>
                <w:rFonts w:hint="eastAsia"/>
                <w:lang w:eastAsia="zh-CN"/>
              </w:rPr>
            </w:pPr>
            <w:r>
              <w:rPr>
                <w:rFonts w:hint="eastAsia"/>
                <w:sz w:val="21"/>
                <w:lang w:eastAsia="zh-CN"/>
              </w:rPr>
              <w:t>已填写</w:t>
            </w:r>
            <w:r>
              <w:rPr>
                <w:sz w:val="21"/>
                <w:lang w:eastAsia="zh-CN"/>
              </w:rPr>
              <w:t>病历号（或档案号）</w:t>
            </w:r>
          </w:p>
        </w:tc>
        <w:tc>
          <w:tcPr>
            <w:tcW w:w="1134" w:type="dxa"/>
            <w:vAlign w:val="center"/>
          </w:tcPr>
          <w:p w14:paraId="73E11139">
            <w:pPr>
              <w:spacing w:after="0"/>
              <w:jc w:val="both"/>
              <w:rPr>
                <w:rFonts w:hint="eastAsia"/>
              </w:rPr>
            </w:pPr>
            <w:r>
              <w:rPr>
                <w:rFonts w:hint="eastAsia"/>
                <w:sz w:val="21"/>
                <w:lang w:eastAsia="zh-CN"/>
              </w:rPr>
              <w:t>1.5</w:t>
            </w:r>
            <w:r>
              <w:rPr>
                <w:sz w:val="21"/>
              </w:rPr>
              <w:t>分</w:t>
            </w:r>
          </w:p>
        </w:tc>
      </w:tr>
      <w:tr w14:paraId="3423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2D86240C">
            <w:pPr>
              <w:spacing w:after="0"/>
              <w:jc w:val="both"/>
              <w:rPr>
                <w:rFonts w:hint="eastAsia"/>
              </w:rPr>
            </w:pPr>
            <w:r>
              <w:rPr>
                <w:sz w:val="21"/>
              </w:rPr>
              <w:t>户籍与现居住地</w:t>
            </w:r>
          </w:p>
        </w:tc>
        <w:tc>
          <w:tcPr>
            <w:tcW w:w="5216" w:type="dxa"/>
            <w:vAlign w:val="center"/>
          </w:tcPr>
          <w:p w14:paraId="3598472F">
            <w:pPr>
              <w:spacing w:after="0"/>
              <w:jc w:val="both"/>
              <w:rPr>
                <w:rFonts w:hint="eastAsia"/>
                <w:lang w:eastAsia="zh-CN"/>
              </w:rPr>
            </w:pPr>
            <w:r>
              <w:rPr>
                <w:sz w:val="21"/>
                <w:lang w:eastAsia="zh-CN"/>
              </w:rPr>
              <w:t>户籍地或现居住地信息填写清楚</w:t>
            </w:r>
          </w:p>
        </w:tc>
        <w:tc>
          <w:tcPr>
            <w:tcW w:w="1134" w:type="dxa"/>
            <w:vAlign w:val="center"/>
          </w:tcPr>
          <w:p w14:paraId="595FEB97">
            <w:pPr>
              <w:spacing w:after="0"/>
              <w:jc w:val="both"/>
              <w:rPr>
                <w:rFonts w:hint="eastAsia"/>
              </w:rPr>
            </w:pPr>
            <w:r>
              <w:rPr>
                <w:rFonts w:hint="eastAsia"/>
                <w:sz w:val="21"/>
                <w:lang w:eastAsia="zh-CN"/>
              </w:rPr>
              <w:t>1.5</w:t>
            </w:r>
            <w:r>
              <w:rPr>
                <w:sz w:val="21"/>
              </w:rPr>
              <w:t>分</w:t>
            </w:r>
          </w:p>
        </w:tc>
      </w:tr>
      <w:tr w14:paraId="74FF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309D9381">
            <w:pPr>
              <w:spacing w:after="0"/>
              <w:jc w:val="both"/>
              <w:rPr>
                <w:rFonts w:hint="eastAsia"/>
              </w:rPr>
            </w:pPr>
            <w:r>
              <w:rPr>
                <w:sz w:val="21"/>
              </w:rPr>
              <w:t>性别</w:t>
            </w:r>
          </w:p>
        </w:tc>
        <w:tc>
          <w:tcPr>
            <w:tcW w:w="5216" w:type="dxa"/>
            <w:vAlign w:val="center"/>
          </w:tcPr>
          <w:p w14:paraId="4CFA918E">
            <w:pPr>
              <w:spacing w:after="0"/>
              <w:jc w:val="both"/>
              <w:rPr>
                <w:rFonts w:hint="eastAsia"/>
              </w:rPr>
            </w:pPr>
            <w:r>
              <w:rPr>
                <w:sz w:val="21"/>
              </w:rPr>
              <w:t>已选择或填写</w:t>
            </w:r>
          </w:p>
        </w:tc>
        <w:tc>
          <w:tcPr>
            <w:tcW w:w="1134" w:type="dxa"/>
            <w:vAlign w:val="center"/>
          </w:tcPr>
          <w:p w14:paraId="736A235F">
            <w:pPr>
              <w:spacing w:after="0"/>
              <w:jc w:val="both"/>
              <w:rPr>
                <w:rFonts w:hint="eastAsia"/>
              </w:rPr>
            </w:pPr>
            <w:r>
              <w:rPr>
                <w:rFonts w:hint="eastAsia"/>
                <w:sz w:val="21"/>
                <w:lang w:eastAsia="zh-CN"/>
              </w:rPr>
              <w:t>1.5</w:t>
            </w:r>
            <w:r>
              <w:rPr>
                <w:sz w:val="21"/>
              </w:rPr>
              <w:t>分</w:t>
            </w:r>
          </w:p>
        </w:tc>
      </w:tr>
      <w:tr w14:paraId="5C26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7303E214">
            <w:pPr>
              <w:spacing w:after="0"/>
              <w:jc w:val="both"/>
              <w:rPr>
                <w:rFonts w:hint="eastAsia"/>
              </w:rPr>
            </w:pPr>
            <w:r>
              <w:rPr>
                <w:sz w:val="21"/>
              </w:rPr>
              <w:t>民族</w:t>
            </w:r>
          </w:p>
        </w:tc>
        <w:tc>
          <w:tcPr>
            <w:tcW w:w="5216" w:type="dxa"/>
            <w:vAlign w:val="center"/>
          </w:tcPr>
          <w:p w14:paraId="091FDC2D">
            <w:pPr>
              <w:spacing w:after="0"/>
              <w:jc w:val="both"/>
              <w:rPr>
                <w:rFonts w:hint="eastAsia"/>
              </w:rPr>
            </w:pPr>
            <w:r>
              <w:rPr>
                <w:sz w:val="21"/>
              </w:rPr>
              <w:t>已选择或填写</w:t>
            </w:r>
          </w:p>
        </w:tc>
        <w:tc>
          <w:tcPr>
            <w:tcW w:w="1134" w:type="dxa"/>
            <w:vAlign w:val="center"/>
          </w:tcPr>
          <w:p w14:paraId="0E252F88">
            <w:pPr>
              <w:spacing w:after="0"/>
              <w:jc w:val="both"/>
              <w:rPr>
                <w:rFonts w:hint="eastAsia"/>
              </w:rPr>
            </w:pPr>
            <w:r>
              <w:rPr>
                <w:rFonts w:hint="eastAsia"/>
                <w:sz w:val="21"/>
                <w:lang w:eastAsia="zh-CN"/>
              </w:rPr>
              <w:t>1.5</w:t>
            </w:r>
            <w:r>
              <w:rPr>
                <w:sz w:val="21"/>
              </w:rPr>
              <w:t>分</w:t>
            </w:r>
          </w:p>
        </w:tc>
      </w:tr>
      <w:tr w14:paraId="755BC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2934C1F7">
            <w:pPr>
              <w:spacing w:after="0"/>
              <w:jc w:val="both"/>
              <w:rPr>
                <w:rFonts w:hint="eastAsia"/>
              </w:rPr>
            </w:pPr>
            <w:r>
              <w:rPr>
                <w:sz w:val="21"/>
              </w:rPr>
              <w:t>出生日期</w:t>
            </w:r>
          </w:p>
        </w:tc>
        <w:tc>
          <w:tcPr>
            <w:tcW w:w="5216" w:type="dxa"/>
            <w:vAlign w:val="center"/>
          </w:tcPr>
          <w:p w14:paraId="3D679C72">
            <w:pPr>
              <w:spacing w:after="0"/>
              <w:jc w:val="both"/>
              <w:rPr>
                <w:rFonts w:hint="eastAsia"/>
              </w:rPr>
            </w:pPr>
            <w:r>
              <w:rPr>
                <w:sz w:val="21"/>
              </w:rPr>
              <w:t>已填写完整出生日期</w:t>
            </w:r>
          </w:p>
        </w:tc>
        <w:tc>
          <w:tcPr>
            <w:tcW w:w="1134" w:type="dxa"/>
            <w:vAlign w:val="center"/>
          </w:tcPr>
          <w:p w14:paraId="455BD1FF">
            <w:pPr>
              <w:spacing w:after="0"/>
              <w:jc w:val="both"/>
              <w:rPr>
                <w:rFonts w:hint="eastAsia"/>
              </w:rPr>
            </w:pPr>
            <w:r>
              <w:rPr>
                <w:sz w:val="21"/>
              </w:rPr>
              <w:t>1.5分</w:t>
            </w:r>
          </w:p>
        </w:tc>
      </w:tr>
      <w:tr w14:paraId="7C67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4BC23B5E">
            <w:pPr>
              <w:spacing w:after="0"/>
              <w:jc w:val="both"/>
              <w:rPr>
                <w:rFonts w:hint="eastAsia"/>
              </w:rPr>
            </w:pPr>
            <w:r>
              <w:rPr>
                <w:sz w:val="21"/>
              </w:rPr>
              <w:t>婚配状况</w:t>
            </w:r>
          </w:p>
        </w:tc>
        <w:tc>
          <w:tcPr>
            <w:tcW w:w="5216" w:type="dxa"/>
            <w:vAlign w:val="center"/>
          </w:tcPr>
          <w:p w14:paraId="0FEEBFF6">
            <w:pPr>
              <w:spacing w:after="0"/>
              <w:jc w:val="both"/>
              <w:rPr>
                <w:rFonts w:hint="eastAsia"/>
              </w:rPr>
            </w:pPr>
            <w:r>
              <w:rPr>
                <w:sz w:val="21"/>
              </w:rPr>
              <w:t>已选择或填写</w:t>
            </w:r>
          </w:p>
        </w:tc>
        <w:tc>
          <w:tcPr>
            <w:tcW w:w="1134" w:type="dxa"/>
            <w:vAlign w:val="center"/>
          </w:tcPr>
          <w:p w14:paraId="352933A7">
            <w:pPr>
              <w:spacing w:after="0"/>
              <w:jc w:val="both"/>
              <w:rPr>
                <w:rFonts w:hint="eastAsia"/>
              </w:rPr>
            </w:pPr>
            <w:r>
              <w:rPr>
                <w:rFonts w:hint="eastAsia"/>
                <w:sz w:val="21"/>
                <w:lang w:eastAsia="zh-CN"/>
              </w:rPr>
              <w:t>1.5</w:t>
            </w:r>
            <w:r>
              <w:rPr>
                <w:sz w:val="21"/>
              </w:rPr>
              <w:t>分</w:t>
            </w:r>
          </w:p>
        </w:tc>
      </w:tr>
      <w:tr w14:paraId="6364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56B1AECD">
            <w:pPr>
              <w:spacing w:after="0"/>
              <w:jc w:val="both"/>
              <w:rPr>
                <w:rFonts w:hint="eastAsia"/>
              </w:rPr>
            </w:pPr>
            <w:r>
              <w:rPr>
                <w:sz w:val="21"/>
              </w:rPr>
              <w:t>从业状况</w:t>
            </w:r>
          </w:p>
        </w:tc>
        <w:tc>
          <w:tcPr>
            <w:tcW w:w="5216" w:type="dxa"/>
            <w:vAlign w:val="center"/>
          </w:tcPr>
          <w:p w14:paraId="6DF4BB78">
            <w:pPr>
              <w:spacing w:after="0"/>
              <w:jc w:val="both"/>
              <w:rPr>
                <w:rFonts w:hint="eastAsia"/>
              </w:rPr>
            </w:pPr>
            <w:r>
              <w:rPr>
                <w:sz w:val="21"/>
              </w:rPr>
              <w:t>已选择或填写</w:t>
            </w:r>
          </w:p>
        </w:tc>
        <w:tc>
          <w:tcPr>
            <w:tcW w:w="1134" w:type="dxa"/>
            <w:vAlign w:val="center"/>
          </w:tcPr>
          <w:p w14:paraId="58B2EBFE">
            <w:pPr>
              <w:spacing w:after="0"/>
              <w:jc w:val="both"/>
              <w:rPr>
                <w:rFonts w:hint="eastAsia"/>
              </w:rPr>
            </w:pPr>
            <w:r>
              <w:rPr>
                <w:rFonts w:hint="eastAsia"/>
                <w:sz w:val="21"/>
                <w:lang w:eastAsia="zh-CN"/>
              </w:rPr>
              <w:t>1.5</w:t>
            </w:r>
            <w:r>
              <w:rPr>
                <w:sz w:val="21"/>
              </w:rPr>
              <w:t>分</w:t>
            </w:r>
          </w:p>
        </w:tc>
      </w:tr>
      <w:tr w14:paraId="3910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7CE49893">
            <w:pPr>
              <w:spacing w:after="0"/>
              <w:jc w:val="both"/>
              <w:rPr>
                <w:rFonts w:hint="eastAsia"/>
              </w:rPr>
            </w:pPr>
            <w:r>
              <w:rPr>
                <w:sz w:val="21"/>
              </w:rPr>
              <w:t>文化程度</w:t>
            </w:r>
          </w:p>
        </w:tc>
        <w:tc>
          <w:tcPr>
            <w:tcW w:w="5216" w:type="dxa"/>
            <w:vAlign w:val="center"/>
          </w:tcPr>
          <w:p w14:paraId="01FE1A37">
            <w:pPr>
              <w:spacing w:after="0"/>
              <w:jc w:val="both"/>
              <w:rPr>
                <w:rFonts w:hint="eastAsia"/>
              </w:rPr>
            </w:pPr>
            <w:r>
              <w:rPr>
                <w:sz w:val="21"/>
              </w:rPr>
              <w:t>已选择或填写</w:t>
            </w:r>
          </w:p>
        </w:tc>
        <w:tc>
          <w:tcPr>
            <w:tcW w:w="1134" w:type="dxa"/>
            <w:vAlign w:val="center"/>
          </w:tcPr>
          <w:p w14:paraId="638AC32F">
            <w:pPr>
              <w:spacing w:after="0"/>
              <w:jc w:val="both"/>
              <w:rPr>
                <w:rFonts w:hint="eastAsia"/>
              </w:rPr>
            </w:pPr>
            <w:r>
              <w:rPr>
                <w:rFonts w:hint="eastAsia"/>
                <w:sz w:val="21"/>
                <w:lang w:eastAsia="zh-CN"/>
              </w:rPr>
              <w:t>1.5</w:t>
            </w:r>
            <w:r>
              <w:rPr>
                <w:sz w:val="21"/>
              </w:rPr>
              <w:t>分</w:t>
            </w:r>
          </w:p>
        </w:tc>
      </w:tr>
      <w:tr w14:paraId="74D4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2A0CF190">
            <w:pPr>
              <w:spacing w:after="0"/>
              <w:jc w:val="both"/>
              <w:rPr>
                <w:rFonts w:hint="eastAsia"/>
              </w:rPr>
            </w:pPr>
            <w:r>
              <w:rPr>
                <w:sz w:val="21"/>
              </w:rPr>
              <w:t>报告人</w:t>
            </w:r>
          </w:p>
        </w:tc>
        <w:tc>
          <w:tcPr>
            <w:tcW w:w="5216" w:type="dxa"/>
            <w:vAlign w:val="center"/>
          </w:tcPr>
          <w:p w14:paraId="27519468">
            <w:pPr>
              <w:spacing w:after="0"/>
              <w:jc w:val="both"/>
              <w:rPr>
                <w:rFonts w:hint="eastAsia"/>
              </w:rPr>
            </w:pPr>
            <w:r>
              <w:rPr>
                <w:sz w:val="21"/>
              </w:rPr>
              <w:t>已填写报告人</w:t>
            </w:r>
          </w:p>
        </w:tc>
        <w:tc>
          <w:tcPr>
            <w:tcW w:w="1134" w:type="dxa"/>
            <w:vAlign w:val="center"/>
          </w:tcPr>
          <w:p w14:paraId="58085253">
            <w:pPr>
              <w:spacing w:after="0"/>
              <w:jc w:val="both"/>
              <w:rPr>
                <w:rFonts w:hint="eastAsia"/>
              </w:rPr>
            </w:pPr>
            <w:r>
              <w:rPr>
                <w:sz w:val="21"/>
              </w:rPr>
              <w:t>0.5分</w:t>
            </w:r>
          </w:p>
        </w:tc>
      </w:tr>
      <w:tr w14:paraId="5F20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8" w:type="dxa"/>
            <w:vAlign w:val="center"/>
          </w:tcPr>
          <w:p w14:paraId="7D3D8B8C">
            <w:pPr>
              <w:spacing w:after="0"/>
              <w:jc w:val="both"/>
              <w:rPr>
                <w:rFonts w:hint="eastAsia"/>
              </w:rPr>
            </w:pPr>
            <w:r>
              <w:rPr>
                <w:sz w:val="21"/>
              </w:rPr>
              <w:t>报告单位</w:t>
            </w:r>
          </w:p>
        </w:tc>
        <w:tc>
          <w:tcPr>
            <w:tcW w:w="5216" w:type="dxa"/>
            <w:vAlign w:val="center"/>
          </w:tcPr>
          <w:p w14:paraId="4F73B37F">
            <w:pPr>
              <w:spacing w:after="0"/>
              <w:jc w:val="both"/>
              <w:rPr>
                <w:rFonts w:hint="eastAsia"/>
              </w:rPr>
            </w:pPr>
            <w:r>
              <w:rPr>
                <w:sz w:val="21"/>
              </w:rPr>
              <w:t>已填写报告单位</w:t>
            </w:r>
          </w:p>
        </w:tc>
        <w:tc>
          <w:tcPr>
            <w:tcW w:w="1134" w:type="dxa"/>
            <w:vAlign w:val="center"/>
          </w:tcPr>
          <w:p w14:paraId="0A4BA484">
            <w:pPr>
              <w:spacing w:after="0"/>
              <w:jc w:val="both"/>
              <w:rPr>
                <w:rFonts w:hint="eastAsia"/>
              </w:rPr>
            </w:pPr>
            <w:r>
              <w:rPr>
                <w:sz w:val="21"/>
              </w:rPr>
              <w:t>0.5分</w:t>
            </w:r>
          </w:p>
        </w:tc>
      </w:tr>
    </w:tbl>
    <w:p w14:paraId="09AC882B">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说明：表格编号由电子上报系统自动生成，主要用于系统追溯、数据聚合和去重，不作为报告人手工填写项目纳入扣分。</w:t>
      </w:r>
    </w:p>
    <w:p w14:paraId="34F703A2">
      <w:pPr>
        <w:keepNext w:val="0"/>
        <w:keepLines w:val="0"/>
        <w:pageBreakBefore w:val="0"/>
        <w:widowControl/>
        <w:numPr>
          <w:ilvl w:val="0"/>
          <w:numId w:val="8"/>
        </w:numPr>
        <w:kinsoku/>
        <w:wordWrap/>
        <w:overflowPunct/>
        <w:topLinePunct w:val="0"/>
        <w:autoSpaceDE/>
        <w:autoSpaceDN/>
        <w:bidi w:val="0"/>
        <w:adjustRightInd/>
        <w:snapToGrid/>
        <w:spacing w:before="120" w:after="0" w:line="520" w:lineRule="exact"/>
        <w:jc w:val="both"/>
        <w:textAlignment w:val="auto"/>
        <w:rPr>
          <w:rFonts w:hint="eastAsia"/>
          <w:b/>
        </w:rPr>
      </w:pPr>
      <w:r>
        <w:rPr>
          <w:rFonts w:hint="eastAsia"/>
          <w:b/>
          <w:lang w:eastAsia="zh-CN"/>
        </w:rPr>
        <w:t>药物（</w:t>
      </w:r>
      <w:r>
        <w:rPr>
          <w:b/>
        </w:rPr>
        <w:t>物质</w:t>
      </w:r>
      <w:r>
        <w:rPr>
          <w:rFonts w:hint="eastAsia"/>
          <w:b/>
          <w:lang w:eastAsia="zh-CN"/>
        </w:rPr>
        <w:t>）</w:t>
      </w:r>
      <w:r>
        <w:rPr>
          <w:b/>
        </w:rPr>
        <w:t>滥用特征，</w:t>
      </w:r>
      <w:r>
        <w:rPr>
          <w:rFonts w:hint="eastAsia"/>
          <w:b/>
          <w:lang w:eastAsia="zh-CN"/>
        </w:rPr>
        <w:t>11</w:t>
      </w:r>
      <w:r>
        <w:rPr>
          <w:b/>
        </w:rPr>
        <w:t>分</w:t>
      </w:r>
    </w:p>
    <w:tbl>
      <w:tblPr>
        <w:tblStyle w:val="34"/>
        <w:tblpPr w:leftFromText="180" w:rightFromText="180" w:vertAnchor="text" w:horzAnchor="page" w:tblpX="1709" w:tblpY="6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1"/>
        <w:gridCol w:w="5272"/>
        <w:gridCol w:w="1134"/>
      </w:tblGrid>
      <w:tr w14:paraId="2EAB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shd w:val="clear" w:color="auto" w:fill="D9EAF7"/>
            <w:vAlign w:val="center"/>
          </w:tcPr>
          <w:p w14:paraId="29F1DD1F">
            <w:pPr>
              <w:spacing w:after="0"/>
              <w:jc w:val="both"/>
              <w:rPr>
                <w:rFonts w:hint="eastAsia"/>
              </w:rPr>
            </w:pPr>
            <w:r>
              <w:rPr>
                <w:b/>
                <w:sz w:val="21"/>
              </w:rPr>
              <w:t>评</w:t>
            </w:r>
            <w:r>
              <w:rPr>
                <w:rFonts w:hint="eastAsia"/>
                <w:b/>
                <w:sz w:val="21"/>
                <w:lang w:eastAsia="zh-CN"/>
              </w:rPr>
              <w:t>分</w:t>
            </w:r>
            <w:r>
              <w:rPr>
                <w:b/>
                <w:sz w:val="21"/>
              </w:rPr>
              <w:t>项目</w:t>
            </w:r>
          </w:p>
        </w:tc>
        <w:tc>
          <w:tcPr>
            <w:tcW w:w="5272" w:type="dxa"/>
            <w:shd w:val="clear" w:color="auto" w:fill="D9EAF7"/>
            <w:vAlign w:val="center"/>
          </w:tcPr>
          <w:p w14:paraId="69560003">
            <w:pPr>
              <w:spacing w:after="0"/>
              <w:jc w:val="both"/>
              <w:rPr>
                <w:rFonts w:hint="eastAsia"/>
              </w:rPr>
            </w:pPr>
            <w:r>
              <w:rPr>
                <w:b/>
                <w:sz w:val="21"/>
              </w:rPr>
              <w:t>评分标准</w:t>
            </w:r>
          </w:p>
        </w:tc>
        <w:tc>
          <w:tcPr>
            <w:tcW w:w="1134" w:type="dxa"/>
            <w:shd w:val="clear" w:color="auto" w:fill="D9EAF7"/>
            <w:vAlign w:val="center"/>
          </w:tcPr>
          <w:p w14:paraId="7AADE439">
            <w:pPr>
              <w:spacing w:after="0"/>
              <w:jc w:val="both"/>
              <w:rPr>
                <w:rFonts w:hint="eastAsia"/>
              </w:rPr>
            </w:pPr>
            <w:r>
              <w:rPr>
                <w:b/>
                <w:sz w:val="21"/>
              </w:rPr>
              <w:t>分值</w:t>
            </w:r>
          </w:p>
        </w:tc>
      </w:tr>
      <w:tr w14:paraId="7BD3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541447C0">
            <w:pPr>
              <w:spacing w:after="0"/>
              <w:jc w:val="both"/>
              <w:rPr>
                <w:rFonts w:hint="eastAsia"/>
              </w:rPr>
            </w:pPr>
            <w:r>
              <w:rPr>
                <w:sz w:val="21"/>
              </w:rPr>
              <w:t>初次滥用药物时间</w:t>
            </w:r>
          </w:p>
        </w:tc>
        <w:tc>
          <w:tcPr>
            <w:tcW w:w="5272" w:type="dxa"/>
            <w:vAlign w:val="center"/>
          </w:tcPr>
          <w:p w14:paraId="77F2F505">
            <w:pPr>
              <w:spacing w:after="0"/>
              <w:jc w:val="both"/>
              <w:rPr>
                <w:rFonts w:hint="eastAsia"/>
                <w:lang w:eastAsia="zh-CN"/>
              </w:rPr>
            </w:pPr>
            <w:r>
              <w:rPr>
                <w:sz w:val="21"/>
                <w:lang w:eastAsia="zh-CN"/>
              </w:rPr>
              <w:t>已填写初次滥用药物的时间</w:t>
            </w:r>
          </w:p>
        </w:tc>
        <w:tc>
          <w:tcPr>
            <w:tcW w:w="1134" w:type="dxa"/>
            <w:vAlign w:val="center"/>
          </w:tcPr>
          <w:p w14:paraId="1247229A">
            <w:pPr>
              <w:spacing w:after="0"/>
              <w:jc w:val="both"/>
              <w:rPr>
                <w:rFonts w:hint="eastAsia"/>
              </w:rPr>
            </w:pPr>
            <w:r>
              <w:rPr>
                <w:rFonts w:hint="eastAsia"/>
                <w:sz w:val="21"/>
                <w:lang w:eastAsia="zh-CN"/>
              </w:rPr>
              <w:t>1.5</w:t>
            </w:r>
            <w:r>
              <w:rPr>
                <w:sz w:val="21"/>
              </w:rPr>
              <w:t>分</w:t>
            </w:r>
          </w:p>
        </w:tc>
      </w:tr>
      <w:tr w14:paraId="3981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2B93E2AC">
            <w:pPr>
              <w:spacing w:after="0"/>
              <w:jc w:val="both"/>
              <w:rPr>
                <w:rFonts w:hint="eastAsia"/>
                <w:lang w:eastAsia="zh-CN"/>
              </w:rPr>
            </w:pPr>
            <w:r>
              <w:rPr>
                <w:sz w:val="21"/>
                <w:lang w:eastAsia="zh-CN"/>
              </w:rPr>
              <w:t>过去12个月曾经滥用药物</w:t>
            </w:r>
          </w:p>
        </w:tc>
        <w:tc>
          <w:tcPr>
            <w:tcW w:w="5272" w:type="dxa"/>
            <w:vAlign w:val="center"/>
          </w:tcPr>
          <w:p w14:paraId="653D4042">
            <w:pPr>
              <w:spacing w:after="0"/>
              <w:jc w:val="both"/>
              <w:rPr>
                <w:rFonts w:hint="eastAsia"/>
                <w:lang w:eastAsia="zh-CN"/>
              </w:rPr>
            </w:pPr>
            <w:r>
              <w:rPr>
                <w:sz w:val="21"/>
                <w:lang w:eastAsia="zh-CN"/>
              </w:rPr>
              <w:t>至少选择或填写一种滥用药物</w:t>
            </w:r>
          </w:p>
        </w:tc>
        <w:tc>
          <w:tcPr>
            <w:tcW w:w="1134" w:type="dxa"/>
            <w:vAlign w:val="center"/>
          </w:tcPr>
          <w:p w14:paraId="167A1BFF">
            <w:pPr>
              <w:spacing w:after="0"/>
              <w:jc w:val="both"/>
              <w:rPr>
                <w:rFonts w:hint="eastAsia"/>
              </w:rPr>
            </w:pPr>
            <w:r>
              <w:rPr>
                <w:rFonts w:hint="eastAsia"/>
                <w:sz w:val="21"/>
                <w:lang w:eastAsia="zh-CN"/>
              </w:rPr>
              <w:t>2.5</w:t>
            </w:r>
            <w:r>
              <w:rPr>
                <w:sz w:val="21"/>
              </w:rPr>
              <w:t>分</w:t>
            </w:r>
          </w:p>
        </w:tc>
      </w:tr>
      <w:tr w14:paraId="20BA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0A08F8A3">
            <w:pPr>
              <w:spacing w:after="0"/>
              <w:jc w:val="both"/>
              <w:rPr>
                <w:rFonts w:hint="eastAsia"/>
              </w:rPr>
            </w:pPr>
            <w:r>
              <w:rPr>
                <w:sz w:val="21"/>
              </w:rPr>
              <w:t>主要滥用药物名称</w:t>
            </w:r>
          </w:p>
        </w:tc>
        <w:tc>
          <w:tcPr>
            <w:tcW w:w="5272" w:type="dxa"/>
            <w:vAlign w:val="center"/>
          </w:tcPr>
          <w:p w14:paraId="5EB6C92D">
            <w:pPr>
              <w:spacing w:after="0"/>
              <w:jc w:val="both"/>
              <w:rPr>
                <w:rFonts w:hint="eastAsia"/>
                <w:lang w:eastAsia="zh-CN"/>
              </w:rPr>
            </w:pPr>
            <w:r>
              <w:rPr>
                <w:sz w:val="21"/>
                <w:lang w:eastAsia="zh-CN"/>
              </w:rPr>
              <w:t>至少完整填写一种主要滥用药物名称或可识别俗称</w:t>
            </w:r>
          </w:p>
        </w:tc>
        <w:tc>
          <w:tcPr>
            <w:tcW w:w="1134" w:type="dxa"/>
            <w:vAlign w:val="center"/>
          </w:tcPr>
          <w:p w14:paraId="2EF2CF6E">
            <w:pPr>
              <w:spacing w:after="0"/>
              <w:jc w:val="both"/>
              <w:rPr>
                <w:rFonts w:hint="eastAsia"/>
              </w:rPr>
            </w:pPr>
            <w:r>
              <w:rPr>
                <w:rFonts w:hint="eastAsia"/>
                <w:sz w:val="21"/>
                <w:lang w:eastAsia="zh-CN"/>
              </w:rPr>
              <w:t>1</w:t>
            </w:r>
            <w:r>
              <w:rPr>
                <w:sz w:val="21"/>
              </w:rPr>
              <w:t>分</w:t>
            </w:r>
          </w:p>
        </w:tc>
      </w:tr>
      <w:tr w14:paraId="6258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192E0F17">
            <w:pPr>
              <w:spacing w:after="0"/>
              <w:jc w:val="both"/>
              <w:rPr>
                <w:rFonts w:hint="eastAsia"/>
              </w:rPr>
            </w:pPr>
            <w:r>
              <w:rPr>
                <w:sz w:val="21"/>
              </w:rPr>
              <w:t>首次滥用年龄</w:t>
            </w:r>
          </w:p>
        </w:tc>
        <w:tc>
          <w:tcPr>
            <w:tcW w:w="5272" w:type="dxa"/>
            <w:vAlign w:val="center"/>
          </w:tcPr>
          <w:p w14:paraId="06D42785">
            <w:pPr>
              <w:spacing w:after="0"/>
              <w:jc w:val="both"/>
              <w:rPr>
                <w:rFonts w:hint="eastAsia"/>
                <w:lang w:eastAsia="zh-CN"/>
              </w:rPr>
            </w:pPr>
            <w:r>
              <w:rPr>
                <w:sz w:val="21"/>
                <w:lang w:eastAsia="zh-CN"/>
              </w:rPr>
              <w:t>已填写主要滥用药物的首次滥用年龄</w:t>
            </w:r>
          </w:p>
        </w:tc>
        <w:tc>
          <w:tcPr>
            <w:tcW w:w="1134" w:type="dxa"/>
            <w:vAlign w:val="center"/>
          </w:tcPr>
          <w:p w14:paraId="74AEBC08">
            <w:pPr>
              <w:spacing w:after="0"/>
              <w:jc w:val="both"/>
              <w:rPr>
                <w:rFonts w:hint="eastAsia"/>
              </w:rPr>
            </w:pPr>
            <w:r>
              <w:rPr>
                <w:rFonts w:hint="eastAsia"/>
                <w:sz w:val="21"/>
                <w:lang w:eastAsia="zh-CN"/>
              </w:rPr>
              <w:t>1</w:t>
            </w:r>
            <w:r>
              <w:rPr>
                <w:sz w:val="21"/>
              </w:rPr>
              <w:t>分</w:t>
            </w:r>
          </w:p>
        </w:tc>
      </w:tr>
      <w:tr w14:paraId="480D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783D4A07">
            <w:pPr>
              <w:spacing w:after="0"/>
              <w:jc w:val="both"/>
              <w:rPr>
                <w:rFonts w:hint="eastAsia"/>
              </w:rPr>
            </w:pPr>
            <w:r>
              <w:rPr>
                <w:sz w:val="21"/>
              </w:rPr>
              <w:t>获得主要途径</w:t>
            </w:r>
          </w:p>
        </w:tc>
        <w:tc>
          <w:tcPr>
            <w:tcW w:w="5272" w:type="dxa"/>
            <w:vAlign w:val="center"/>
          </w:tcPr>
          <w:p w14:paraId="1FCC6AB1">
            <w:pPr>
              <w:spacing w:after="0"/>
              <w:jc w:val="both"/>
              <w:rPr>
                <w:rFonts w:hint="eastAsia"/>
                <w:lang w:eastAsia="zh-CN"/>
              </w:rPr>
            </w:pPr>
            <w:r>
              <w:rPr>
                <w:sz w:val="21"/>
                <w:lang w:eastAsia="zh-CN"/>
              </w:rPr>
              <w:t>已填写或选择主要获得途径</w:t>
            </w:r>
          </w:p>
        </w:tc>
        <w:tc>
          <w:tcPr>
            <w:tcW w:w="1134" w:type="dxa"/>
            <w:vAlign w:val="center"/>
          </w:tcPr>
          <w:p w14:paraId="5C5C7A2B">
            <w:pPr>
              <w:spacing w:after="0"/>
              <w:jc w:val="both"/>
              <w:rPr>
                <w:rFonts w:hint="eastAsia"/>
              </w:rPr>
            </w:pPr>
            <w:r>
              <w:rPr>
                <w:rFonts w:hint="eastAsia"/>
                <w:sz w:val="21"/>
                <w:lang w:eastAsia="zh-CN"/>
              </w:rPr>
              <w:t>1</w:t>
            </w:r>
            <w:r>
              <w:rPr>
                <w:sz w:val="21"/>
              </w:rPr>
              <w:t>分</w:t>
            </w:r>
          </w:p>
        </w:tc>
      </w:tr>
      <w:tr w14:paraId="491A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1FE05EAC">
            <w:pPr>
              <w:spacing w:after="0"/>
              <w:jc w:val="both"/>
              <w:rPr>
                <w:rFonts w:hint="eastAsia"/>
              </w:rPr>
            </w:pPr>
            <w:r>
              <w:rPr>
                <w:sz w:val="21"/>
              </w:rPr>
              <w:t>主要使用方式</w:t>
            </w:r>
          </w:p>
        </w:tc>
        <w:tc>
          <w:tcPr>
            <w:tcW w:w="5272" w:type="dxa"/>
            <w:vAlign w:val="center"/>
          </w:tcPr>
          <w:p w14:paraId="586E86B1">
            <w:pPr>
              <w:spacing w:after="0"/>
              <w:jc w:val="both"/>
              <w:rPr>
                <w:rFonts w:hint="eastAsia"/>
                <w:lang w:eastAsia="zh-CN"/>
              </w:rPr>
            </w:pPr>
            <w:r>
              <w:rPr>
                <w:sz w:val="21"/>
                <w:lang w:eastAsia="zh-CN"/>
              </w:rPr>
              <w:t>已填写或选择主要使用方式</w:t>
            </w:r>
            <w:r>
              <w:rPr>
                <w:rFonts w:hint="eastAsia"/>
                <w:sz w:val="21"/>
                <w:lang w:eastAsia="zh-CN"/>
              </w:rPr>
              <w:t>，若</w:t>
            </w:r>
            <w:r>
              <w:rPr>
                <w:sz w:val="21"/>
                <w:lang w:eastAsia="zh-CN"/>
              </w:rPr>
              <w:t>主要使用方式”选择“静脉/肌内/皮下/动脉注射”，</w:t>
            </w:r>
            <w:r>
              <w:rPr>
                <w:rFonts w:hint="eastAsia"/>
                <w:sz w:val="21"/>
                <w:lang w:eastAsia="zh-CN"/>
              </w:rPr>
              <w:t>已填写</w:t>
            </w:r>
            <w:r>
              <w:rPr>
                <w:sz w:val="21"/>
                <w:lang w:eastAsia="zh-CN"/>
              </w:rPr>
              <w:t>过去 12 个月是否与他人共用过注射器</w:t>
            </w:r>
          </w:p>
        </w:tc>
        <w:tc>
          <w:tcPr>
            <w:tcW w:w="1134" w:type="dxa"/>
            <w:vAlign w:val="center"/>
          </w:tcPr>
          <w:p w14:paraId="3CEF6E40">
            <w:pPr>
              <w:spacing w:after="0"/>
              <w:jc w:val="both"/>
              <w:rPr>
                <w:rFonts w:hint="eastAsia"/>
              </w:rPr>
            </w:pPr>
            <w:r>
              <w:rPr>
                <w:rFonts w:hint="eastAsia"/>
                <w:sz w:val="21"/>
                <w:lang w:eastAsia="zh-CN"/>
              </w:rPr>
              <w:t>1</w:t>
            </w:r>
            <w:r>
              <w:rPr>
                <w:sz w:val="21"/>
              </w:rPr>
              <w:t>分</w:t>
            </w:r>
          </w:p>
        </w:tc>
      </w:tr>
      <w:tr w14:paraId="2FB2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6844E0D8">
            <w:pPr>
              <w:spacing w:after="0"/>
              <w:jc w:val="both"/>
              <w:rPr>
                <w:rFonts w:hint="eastAsia"/>
              </w:rPr>
            </w:pPr>
            <w:r>
              <w:rPr>
                <w:sz w:val="21"/>
              </w:rPr>
              <w:t>滥用次数</w:t>
            </w:r>
          </w:p>
        </w:tc>
        <w:tc>
          <w:tcPr>
            <w:tcW w:w="5272" w:type="dxa"/>
            <w:vAlign w:val="center"/>
          </w:tcPr>
          <w:p w14:paraId="6A52582D">
            <w:pPr>
              <w:spacing w:after="0"/>
              <w:jc w:val="both"/>
              <w:rPr>
                <w:rFonts w:hint="eastAsia"/>
                <w:lang w:eastAsia="zh-CN"/>
              </w:rPr>
            </w:pPr>
            <w:r>
              <w:rPr>
                <w:sz w:val="21"/>
                <w:lang w:eastAsia="zh-CN"/>
              </w:rPr>
              <w:t>已填写次数，并选择每日、每周或每月等计算时间单位</w:t>
            </w:r>
          </w:p>
        </w:tc>
        <w:tc>
          <w:tcPr>
            <w:tcW w:w="1134" w:type="dxa"/>
            <w:vAlign w:val="center"/>
          </w:tcPr>
          <w:p w14:paraId="654FC826">
            <w:pPr>
              <w:spacing w:after="0"/>
              <w:jc w:val="both"/>
              <w:rPr>
                <w:rFonts w:hint="eastAsia"/>
              </w:rPr>
            </w:pPr>
            <w:r>
              <w:rPr>
                <w:rFonts w:hint="eastAsia"/>
                <w:sz w:val="21"/>
                <w:lang w:eastAsia="zh-CN"/>
              </w:rPr>
              <w:t>1</w:t>
            </w:r>
            <w:r>
              <w:rPr>
                <w:sz w:val="21"/>
              </w:rPr>
              <w:t>分</w:t>
            </w:r>
          </w:p>
        </w:tc>
      </w:tr>
      <w:tr w14:paraId="5783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6B84B779">
            <w:pPr>
              <w:spacing w:after="0"/>
              <w:jc w:val="both"/>
              <w:rPr>
                <w:rFonts w:hint="eastAsia"/>
              </w:rPr>
            </w:pPr>
            <w:r>
              <w:rPr>
                <w:sz w:val="21"/>
              </w:rPr>
              <w:t>通常每次用量及单位</w:t>
            </w:r>
          </w:p>
        </w:tc>
        <w:tc>
          <w:tcPr>
            <w:tcW w:w="5272" w:type="dxa"/>
            <w:vAlign w:val="center"/>
          </w:tcPr>
          <w:p w14:paraId="49445FBA">
            <w:pPr>
              <w:spacing w:after="0"/>
              <w:jc w:val="both"/>
              <w:rPr>
                <w:rFonts w:hint="eastAsia"/>
                <w:lang w:eastAsia="zh-CN"/>
              </w:rPr>
            </w:pPr>
            <w:r>
              <w:rPr>
                <w:sz w:val="21"/>
                <w:lang w:eastAsia="zh-CN"/>
              </w:rPr>
              <w:t>已填写通常每次用量，并写明重量或剂量单位，如克、片、丸、支、零包等</w:t>
            </w:r>
          </w:p>
        </w:tc>
        <w:tc>
          <w:tcPr>
            <w:tcW w:w="1134" w:type="dxa"/>
            <w:vAlign w:val="center"/>
          </w:tcPr>
          <w:p w14:paraId="76949326">
            <w:pPr>
              <w:spacing w:after="0"/>
              <w:jc w:val="both"/>
              <w:rPr>
                <w:rFonts w:hint="eastAsia"/>
              </w:rPr>
            </w:pPr>
            <w:r>
              <w:rPr>
                <w:rFonts w:hint="eastAsia"/>
                <w:sz w:val="21"/>
                <w:lang w:eastAsia="zh-CN"/>
              </w:rPr>
              <w:t>1</w:t>
            </w:r>
            <w:r>
              <w:rPr>
                <w:sz w:val="21"/>
              </w:rPr>
              <w:t>分</w:t>
            </w:r>
          </w:p>
        </w:tc>
      </w:tr>
      <w:tr w14:paraId="70F9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401B42A5">
            <w:pPr>
              <w:spacing w:after="0"/>
              <w:jc w:val="both"/>
              <w:rPr>
                <w:rFonts w:hint="eastAsia"/>
              </w:rPr>
            </w:pPr>
            <w:r>
              <w:rPr>
                <w:sz w:val="21"/>
              </w:rPr>
              <w:t>通常每次花费</w:t>
            </w:r>
          </w:p>
        </w:tc>
        <w:tc>
          <w:tcPr>
            <w:tcW w:w="5272" w:type="dxa"/>
            <w:vAlign w:val="center"/>
          </w:tcPr>
          <w:p w14:paraId="44C0AD56">
            <w:pPr>
              <w:spacing w:after="0"/>
              <w:jc w:val="both"/>
              <w:rPr>
                <w:rFonts w:hint="eastAsia"/>
              </w:rPr>
            </w:pPr>
            <w:r>
              <w:rPr>
                <w:sz w:val="21"/>
              </w:rPr>
              <w:t>已填写费用信息</w:t>
            </w:r>
          </w:p>
        </w:tc>
        <w:tc>
          <w:tcPr>
            <w:tcW w:w="1134" w:type="dxa"/>
            <w:vAlign w:val="center"/>
          </w:tcPr>
          <w:p w14:paraId="0CC6534F">
            <w:pPr>
              <w:spacing w:after="0"/>
              <w:jc w:val="both"/>
              <w:rPr>
                <w:rFonts w:hint="eastAsia"/>
              </w:rPr>
            </w:pPr>
            <w:r>
              <w:rPr>
                <w:rFonts w:hint="eastAsia"/>
                <w:sz w:val="21"/>
                <w:lang w:eastAsia="zh-CN"/>
              </w:rPr>
              <w:t>1</w:t>
            </w:r>
            <w:r>
              <w:rPr>
                <w:sz w:val="21"/>
              </w:rPr>
              <w:t>分</w:t>
            </w:r>
          </w:p>
        </w:tc>
      </w:tr>
    </w:tbl>
    <w:p w14:paraId="642B0AD7">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lang w:eastAsia="zh-CN"/>
        </w:rPr>
      </w:pPr>
    </w:p>
    <w:p w14:paraId="2744B35B">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说明：第11(b)题为联立式调查题。主要滥用药物应从第11(a)题已选择或填写的滥用药物中确定；同一行中主要滥用药物、首次滥用年龄、获得主要途径、主要使用方式、滥用次数、通常每次用量和通常每次花费等信息应对应填写。若仅填写药物名称而未填写同一行其他信息，判定为该药物滥用特征信息不完整。电子系统导出为多行时，应逐行核查每种主要滥用药物的行内信息。</w:t>
      </w:r>
    </w:p>
    <w:p w14:paraId="1C8D184D">
      <w:pPr>
        <w:keepNext w:val="0"/>
        <w:keepLines w:val="0"/>
        <w:pageBreakBefore w:val="0"/>
        <w:widowControl/>
        <w:numPr>
          <w:ilvl w:val="0"/>
          <w:numId w:val="8"/>
        </w:numPr>
        <w:kinsoku/>
        <w:wordWrap/>
        <w:overflowPunct/>
        <w:topLinePunct w:val="0"/>
        <w:autoSpaceDE/>
        <w:autoSpaceDN/>
        <w:bidi w:val="0"/>
        <w:adjustRightInd/>
        <w:snapToGrid/>
        <w:spacing w:before="120" w:after="0" w:line="520" w:lineRule="exact"/>
        <w:ind w:left="0" w:leftChars="0" w:firstLine="0" w:firstLineChars="0"/>
        <w:jc w:val="both"/>
        <w:textAlignment w:val="auto"/>
        <w:rPr>
          <w:b/>
          <w:lang w:eastAsia="zh-CN"/>
        </w:rPr>
      </w:pPr>
      <w:r>
        <w:rPr>
          <w:b/>
          <w:lang w:eastAsia="zh-CN"/>
        </w:rPr>
        <w:t>风险因素、检测与戒毒</w:t>
      </w:r>
      <w:r>
        <w:rPr>
          <w:rFonts w:hint="eastAsia"/>
          <w:b/>
          <w:lang w:eastAsia="zh-CN"/>
        </w:rPr>
        <w:t>情况</w:t>
      </w:r>
      <w:r>
        <w:rPr>
          <w:b/>
          <w:lang w:eastAsia="zh-CN"/>
        </w:rPr>
        <w:t>，</w:t>
      </w:r>
      <w:r>
        <w:rPr>
          <w:rFonts w:hint="eastAsia"/>
          <w:b/>
          <w:lang w:eastAsia="zh-CN"/>
        </w:rPr>
        <w:t>9</w:t>
      </w:r>
      <w:r>
        <w:rPr>
          <w:b/>
          <w:lang w:eastAsia="zh-CN"/>
        </w:rPr>
        <w:t>分</w:t>
      </w:r>
    </w:p>
    <w:tbl>
      <w:tblPr>
        <w:tblStyle w:val="34"/>
        <w:tblpPr w:leftFromText="180" w:rightFromText="180" w:vertAnchor="text" w:horzAnchor="page" w:tblpX="1648" w:tblpY="18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1"/>
        <w:gridCol w:w="5272"/>
        <w:gridCol w:w="1134"/>
      </w:tblGrid>
      <w:tr w14:paraId="4D32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shd w:val="clear" w:color="auto" w:fill="D9EAF7"/>
            <w:vAlign w:val="center"/>
          </w:tcPr>
          <w:p w14:paraId="6F943E78">
            <w:pPr>
              <w:spacing w:after="0"/>
              <w:jc w:val="both"/>
              <w:rPr>
                <w:rFonts w:hint="eastAsia"/>
              </w:rPr>
            </w:pPr>
            <w:r>
              <w:rPr>
                <w:b/>
                <w:sz w:val="21"/>
              </w:rPr>
              <w:t>评</w:t>
            </w:r>
            <w:r>
              <w:rPr>
                <w:rFonts w:hint="eastAsia"/>
                <w:b/>
                <w:sz w:val="21"/>
                <w:lang w:eastAsia="zh-CN"/>
              </w:rPr>
              <w:t>分</w:t>
            </w:r>
            <w:r>
              <w:rPr>
                <w:b/>
                <w:sz w:val="21"/>
              </w:rPr>
              <w:t>项目</w:t>
            </w:r>
          </w:p>
        </w:tc>
        <w:tc>
          <w:tcPr>
            <w:tcW w:w="5272" w:type="dxa"/>
            <w:shd w:val="clear" w:color="auto" w:fill="D9EAF7"/>
            <w:vAlign w:val="center"/>
          </w:tcPr>
          <w:p w14:paraId="229305CF">
            <w:pPr>
              <w:spacing w:after="0"/>
              <w:jc w:val="both"/>
              <w:rPr>
                <w:rFonts w:hint="eastAsia"/>
              </w:rPr>
            </w:pPr>
            <w:r>
              <w:rPr>
                <w:b/>
                <w:sz w:val="21"/>
              </w:rPr>
              <w:t>评分标准</w:t>
            </w:r>
          </w:p>
        </w:tc>
        <w:tc>
          <w:tcPr>
            <w:tcW w:w="1134" w:type="dxa"/>
            <w:shd w:val="clear" w:color="auto" w:fill="D9EAF7"/>
            <w:vAlign w:val="center"/>
          </w:tcPr>
          <w:p w14:paraId="1B3EEC9F">
            <w:pPr>
              <w:spacing w:after="0"/>
              <w:jc w:val="both"/>
              <w:rPr>
                <w:rFonts w:hint="eastAsia"/>
              </w:rPr>
            </w:pPr>
            <w:r>
              <w:rPr>
                <w:b/>
                <w:sz w:val="21"/>
              </w:rPr>
              <w:t>分值</w:t>
            </w:r>
          </w:p>
        </w:tc>
      </w:tr>
      <w:tr w14:paraId="3985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4A6E9044">
            <w:pPr>
              <w:spacing w:after="0"/>
              <w:jc w:val="both"/>
              <w:rPr>
                <w:rFonts w:hint="eastAsia"/>
                <w:lang w:eastAsia="zh-CN"/>
              </w:rPr>
            </w:pPr>
            <w:r>
              <w:rPr>
                <w:rFonts w:hint="eastAsia"/>
                <w:sz w:val="21"/>
                <w:lang w:eastAsia="zh-CN"/>
              </w:rPr>
              <w:t>过去12个月</w:t>
            </w:r>
            <w:r>
              <w:rPr>
                <w:sz w:val="21"/>
                <w:lang w:eastAsia="zh-CN"/>
              </w:rPr>
              <w:t>滥用药物主要原因</w:t>
            </w:r>
          </w:p>
        </w:tc>
        <w:tc>
          <w:tcPr>
            <w:tcW w:w="5272" w:type="dxa"/>
            <w:vAlign w:val="center"/>
          </w:tcPr>
          <w:p w14:paraId="5AC951E8">
            <w:pPr>
              <w:spacing w:after="0"/>
              <w:jc w:val="both"/>
              <w:rPr>
                <w:rFonts w:hint="eastAsia"/>
                <w:lang w:eastAsia="zh-CN"/>
              </w:rPr>
            </w:pPr>
            <w:r>
              <w:rPr>
                <w:rFonts w:hint="eastAsia"/>
                <w:sz w:val="21"/>
                <w:lang w:eastAsia="zh-CN"/>
              </w:rPr>
              <w:t>多项选择，</w:t>
            </w:r>
            <w:r>
              <w:rPr>
                <w:sz w:val="21"/>
                <w:lang w:eastAsia="zh-CN"/>
              </w:rPr>
              <w:t>至少选择或填写一项原因</w:t>
            </w:r>
          </w:p>
        </w:tc>
        <w:tc>
          <w:tcPr>
            <w:tcW w:w="1134" w:type="dxa"/>
            <w:vAlign w:val="center"/>
          </w:tcPr>
          <w:p w14:paraId="13AC32CE">
            <w:pPr>
              <w:spacing w:after="0"/>
              <w:jc w:val="both"/>
              <w:rPr>
                <w:rFonts w:hint="eastAsia"/>
              </w:rPr>
            </w:pPr>
            <w:r>
              <w:rPr>
                <w:rFonts w:hint="eastAsia"/>
                <w:sz w:val="21"/>
                <w:lang w:eastAsia="zh-CN"/>
              </w:rPr>
              <w:t>1.5</w:t>
            </w:r>
            <w:r>
              <w:rPr>
                <w:sz w:val="21"/>
              </w:rPr>
              <w:t>分</w:t>
            </w:r>
          </w:p>
        </w:tc>
      </w:tr>
      <w:tr w14:paraId="131C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23E0F492">
            <w:pPr>
              <w:spacing w:after="0"/>
              <w:jc w:val="both"/>
              <w:rPr>
                <w:rFonts w:hint="eastAsia"/>
                <w:lang w:eastAsia="zh-CN"/>
              </w:rPr>
            </w:pPr>
            <w:r>
              <w:rPr>
                <w:rFonts w:hint="eastAsia"/>
                <w:sz w:val="21"/>
                <w:lang w:eastAsia="zh-CN"/>
              </w:rPr>
              <w:t>过去12个月</w:t>
            </w:r>
            <w:r>
              <w:rPr>
                <w:sz w:val="21"/>
                <w:lang w:eastAsia="zh-CN"/>
              </w:rPr>
              <w:t>滥用药物主要场所</w:t>
            </w:r>
          </w:p>
        </w:tc>
        <w:tc>
          <w:tcPr>
            <w:tcW w:w="5272" w:type="dxa"/>
            <w:vAlign w:val="center"/>
          </w:tcPr>
          <w:p w14:paraId="6E379737">
            <w:pPr>
              <w:spacing w:after="0"/>
              <w:jc w:val="both"/>
              <w:rPr>
                <w:rFonts w:hint="eastAsia"/>
                <w:lang w:eastAsia="zh-CN"/>
              </w:rPr>
            </w:pPr>
            <w:r>
              <w:rPr>
                <w:rFonts w:hint="eastAsia"/>
                <w:sz w:val="21"/>
                <w:lang w:eastAsia="zh-CN"/>
              </w:rPr>
              <w:t>多项选择，</w:t>
            </w:r>
            <w:r>
              <w:rPr>
                <w:sz w:val="21"/>
                <w:lang w:eastAsia="zh-CN"/>
              </w:rPr>
              <w:t>至少选择或填写一项场所</w:t>
            </w:r>
          </w:p>
        </w:tc>
        <w:tc>
          <w:tcPr>
            <w:tcW w:w="1134" w:type="dxa"/>
            <w:vAlign w:val="center"/>
          </w:tcPr>
          <w:p w14:paraId="089D0FC7">
            <w:pPr>
              <w:spacing w:after="0"/>
              <w:jc w:val="both"/>
              <w:rPr>
                <w:rFonts w:hint="eastAsia"/>
              </w:rPr>
            </w:pPr>
            <w:r>
              <w:rPr>
                <w:sz w:val="21"/>
              </w:rPr>
              <w:t>1.5分</w:t>
            </w:r>
          </w:p>
        </w:tc>
      </w:tr>
      <w:tr w14:paraId="79E5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28962D3E">
            <w:pPr>
              <w:spacing w:after="0"/>
              <w:jc w:val="both"/>
              <w:rPr>
                <w:rFonts w:hint="eastAsia"/>
                <w:lang w:eastAsia="zh-CN"/>
              </w:rPr>
            </w:pPr>
            <w:r>
              <w:rPr>
                <w:sz w:val="21"/>
                <w:lang w:eastAsia="zh-CN"/>
              </w:rPr>
              <w:t>本次尿液或体液检测状态</w:t>
            </w:r>
          </w:p>
        </w:tc>
        <w:tc>
          <w:tcPr>
            <w:tcW w:w="5272" w:type="dxa"/>
            <w:vAlign w:val="center"/>
          </w:tcPr>
          <w:p w14:paraId="2BA7ED0E">
            <w:pPr>
              <w:spacing w:after="0"/>
              <w:jc w:val="both"/>
              <w:rPr>
                <w:rFonts w:hint="eastAsia"/>
                <w:lang w:eastAsia="zh-CN"/>
              </w:rPr>
            </w:pPr>
            <w:r>
              <w:rPr>
                <w:sz w:val="21"/>
                <w:lang w:eastAsia="zh-CN"/>
              </w:rPr>
              <w:t>明确填写未做、阴性、阳性或其他检测状态</w:t>
            </w:r>
            <w:r>
              <w:rPr>
                <w:rFonts w:hint="eastAsia"/>
                <w:sz w:val="21"/>
                <w:lang w:eastAsia="zh-CN"/>
              </w:rPr>
              <w:t>，</w:t>
            </w:r>
            <w:r>
              <w:rPr>
                <w:sz w:val="21"/>
                <w:lang w:eastAsia="zh-CN"/>
              </w:rPr>
              <w:t>如检测结果为阳性，填写具体检出药物种类</w:t>
            </w:r>
          </w:p>
        </w:tc>
        <w:tc>
          <w:tcPr>
            <w:tcW w:w="1134" w:type="dxa"/>
            <w:vAlign w:val="center"/>
          </w:tcPr>
          <w:p w14:paraId="28D6EC62">
            <w:pPr>
              <w:spacing w:after="0"/>
              <w:jc w:val="both"/>
              <w:rPr>
                <w:rFonts w:hint="eastAsia"/>
              </w:rPr>
            </w:pPr>
            <w:r>
              <w:rPr>
                <w:rFonts w:hint="eastAsia"/>
                <w:sz w:val="21"/>
                <w:lang w:eastAsia="zh-CN"/>
              </w:rPr>
              <w:t>1.5</w:t>
            </w:r>
            <w:r>
              <w:rPr>
                <w:sz w:val="21"/>
              </w:rPr>
              <w:t>分</w:t>
            </w:r>
          </w:p>
        </w:tc>
      </w:tr>
      <w:tr w14:paraId="5682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66B54F40">
            <w:pPr>
              <w:spacing w:after="0"/>
              <w:jc w:val="both"/>
              <w:rPr>
                <w:rFonts w:hint="eastAsia"/>
              </w:rPr>
            </w:pPr>
            <w:r>
              <w:rPr>
                <w:sz w:val="21"/>
              </w:rPr>
              <w:t>HIV检查状态</w:t>
            </w:r>
          </w:p>
        </w:tc>
        <w:tc>
          <w:tcPr>
            <w:tcW w:w="5272" w:type="dxa"/>
            <w:vAlign w:val="center"/>
          </w:tcPr>
          <w:p w14:paraId="05DF5519">
            <w:pPr>
              <w:spacing w:after="0"/>
              <w:jc w:val="both"/>
              <w:rPr>
                <w:rFonts w:hint="eastAsia"/>
                <w:lang w:eastAsia="zh-CN"/>
              </w:rPr>
            </w:pPr>
            <w:r>
              <w:rPr>
                <w:sz w:val="21"/>
                <w:lang w:eastAsia="zh-CN"/>
              </w:rPr>
              <w:t>明确填写未做、阴性或阳性</w:t>
            </w:r>
          </w:p>
        </w:tc>
        <w:tc>
          <w:tcPr>
            <w:tcW w:w="1134" w:type="dxa"/>
            <w:vAlign w:val="center"/>
          </w:tcPr>
          <w:p w14:paraId="1F62D548">
            <w:pPr>
              <w:spacing w:after="0"/>
              <w:jc w:val="both"/>
              <w:rPr>
                <w:rFonts w:hint="eastAsia"/>
              </w:rPr>
            </w:pPr>
            <w:r>
              <w:rPr>
                <w:rFonts w:hint="eastAsia"/>
                <w:sz w:val="21"/>
                <w:lang w:eastAsia="zh-CN"/>
              </w:rPr>
              <w:t>1.5</w:t>
            </w:r>
            <w:r>
              <w:rPr>
                <w:sz w:val="21"/>
              </w:rPr>
              <w:t>分</w:t>
            </w:r>
          </w:p>
        </w:tc>
      </w:tr>
      <w:tr w14:paraId="32AF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6B41EEAB">
            <w:pPr>
              <w:spacing w:after="0"/>
              <w:jc w:val="both"/>
              <w:rPr>
                <w:rFonts w:hint="eastAsia"/>
              </w:rPr>
            </w:pPr>
            <w:r>
              <w:rPr>
                <w:sz w:val="21"/>
              </w:rPr>
              <w:t>本次是否收治</w:t>
            </w:r>
          </w:p>
        </w:tc>
        <w:tc>
          <w:tcPr>
            <w:tcW w:w="5272" w:type="dxa"/>
            <w:vAlign w:val="center"/>
          </w:tcPr>
          <w:p w14:paraId="0F3F659D">
            <w:pPr>
              <w:spacing w:after="0"/>
              <w:jc w:val="both"/>
              <w:rPr>
                <w:rFonts w:hint="eastAsia"/>
                <w:lang w:eastAsia="zh-CN"/>
              </w:rPr>
            </w:pPr>
            <w:r>
              <w:rPr>
                <w:sz w:val="21"/>
                <w:lang w:eastAsia="zh-CN"/>
              </w:rPr>
              <w:t>明确填写收治或未收治</w:t>
            </w:r>
          </w:p>
        </w:tc>
        <w:tc>
          <w:tcPr>
            <w:tcW w:w="1134" w:type="dxa"/>
            <w:vAlign w:val="center"/>
          </w:tcPr>
          <w:p w14:paraId="2C6C1893">
            <w:pPr>
              <w:spacing w:after="0"/>
              <w:jc w:val="both"/>
              <w:rPr>
                <w:rFonts w:hint="eastAsia"/>
              </w:rPr>
            </w:pPr>
            <w:r>
              <w:rPr>
                <w:rFonts w:hint="eastAsia"/>
                <w:sz w:val="21"/>
                <w:lang w:eastAsia="zh-CN"/>
              </w:rPr>
              <w:t>1.5</w:t>
            </w:r>
            <w:r>
              <w:rPr>
                <w:sz w:val="21"/>
              </w:rPr>
              <w:t>分</w:t>
            </w:r>
          </w:p>
        </w:tc>
      </w:tr>
      <w:tr w14:paraId="1633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2D4D1637">
            <w:pPr>
              <w:spacing w:after="0"/>
              <w:jc w:val="both"/>
              <w:rPr>
                <w:rFonts w:hint="eastAsia"/>
              </w:rPr>
            </w:pPr>
            <w:r>
              <w:rPr>
                <w:sz w:val="21"/>
              </w:rPr>
              <w:t>本次是否第一次戒毒</w:t>
            </w:r>
          </w:p>
        </w:tc>
        <w:tc>
          <w:tcPr>
            <w:tcW w:w="5272" w:type="dxa"/>
            <w:vAlign w:val="center"/>
          </w:tcPr>
          <w:p w14:paraId="6A5C5F5D">
            <w:pPr>
              <w:spacing w:after="0"/>
              <w:jc w:val="both"/>
              <w:rPr>
                <w:rFonts w:hint="eastAsia"/>
                <w:lang w:eastAsia="zh-CN"/>
              </w:rPr>
            </w:pPr>
            <w:r>
              <w:rPr>
                <w:sz w:val="21"/>
                <w:lang w:eastAsia="zh-CN"/>
              </w:rPr>
              <w:t>明确填写是或否</w:t>
            </w:r>
            <w:r>
              <w:rPr>
                <w:rFonts w:hint="eastAsia"/>
                <w:sz w:val="21"/>
                <w:lang w:eastAsia="zh-CN"/>
              </w:rPr>
              <w:t>，</w:t>
            </w:r>
            <w:r>
              <w:rPr>
                <w:sz w:val="21"/>
                <w:lang w:eastAsia="zh-CN"/>
              </w:rPr>
              <w:t>如本次不是第一次戒毒，应填写既往戒毒治疗次数</w:t>
            </w:r>
          </w:p>
        </w:tc>
        <w:tc>
          <w:tcPr>
            <w:tcW w:w="1134" w:type="dxa"/>
            <w:vAlign w:val="center"/>
          </w:tcPr>
          <w:p w14:paraId="206B9B10">
            <w:pPr>
              <w:spacing w:after="0"/>
              <w:jc w:val="both"/>
              <w:rPr>
                <w:rFonts w:hint="eastAsia"/>
              </w:rPr>
            </w:pPr>
            <w:r>
              <w:rPr>
                <w:rFonts w:hint="eastAsia"/>
                <w:sz w:val="21"/>
                <w:lang w:eastAsia="zh-CN"/>
              </w:rPr>
              <w:t>1.5</w:t>
            </w:r>
            <w:r>
              <w:rPr>
                <w:sz w:val="21"/>
              </w:rPr>
              <w:t>分</w:t>
            </w:r>
          </w:p>
        </w:tc>
      </w:tr>
    </w:tbl>
    <w:p w14:paraId="659A1849">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说明：考虑到不同报告单位检测条件不同，尿液或体液检测、HIV检查在完整性维度中主要评</w:t>
      </w:r>
      <w:r>
        <w:rPr>
          <w:rFonts w:hint="eastAsia"/>
          <w:lang w:eastAsia="zh-CN"/>
        </w:rPr>
        <w:t>估</w:t>
      </w:r>
      <w:r>
        <w:rPr>
          <w:lang w:eastAsia="zh-CN"/>
        </w:rPr>
        <w:t>是否明确记录检测状态，不要求所有调查对象均必须完成检测。</w:t>
      </w:r>
    </w:p>
    <w:p w14:paraId="44153541">
      <w:pPr>
        <w:keepNext w:val="0"/>
        <w:keepLines w:val="0"/>
        <w:pageBreakBefore w:val="0"/>
        <w:widowControl/>
        <w:kinsoku/>
        <w:wordWrap/>
        <w:overflowPunct/>
        <w:topLinePunct w:val="0"/>
        <w:autoSpaceDE/>
        <w:autoSpaceDN/>
        <w:bidi w:val="0"/>
        <w:adjustRightInd/>
        <w:snapToGrid/>
        <w:spacing w:before="120" w:after="0" w:line="520" w:lineRule="exact"/>
        <w:jc w:val="both"/>
        <w:textAlignment w:val="auto"/>
        <w:rPr>
          <w:rFonts w:hint="eastAsia"/>
          <w:szCs w:val="24"/>
          <w:lang w:eastAsia="zh-CN"/>
        </w:rPr>
      </w:pPr>
      <w:r>
        <w:rPr>
          <w:rFonts w:hint="eastAsia"/>
          <w:b/>
          <w:szCs w:val="24"/>
          <w:lang w:eastAsia="zh-CN"/>
        </w:rPr>
        <w:t>（二）</w:t>
      </w:r>
      <w:r>
        <w:rPr>
          <w:b/>
          <w:szCs w:val="24"/>
          <w:lang w:eastAsia="zh-CN"/>
        </w:rPr>
        <w:t>规范性评</w:t>
      </w:r>
      <w:r>
        <w:rPr>
          <w:rFonts w:hint="eastAsia"/>
          <w:b/>
          <w:szCs w:val="24"/>
          <w:lang w:eastAsia="zh-CN"/>
        </w:rPr>
        <w:t>分</w:t>
      </w:r>
      <w:r>
        <w:rPr>
          <w:b/>
          <w:szCs w:val="24"/>
          <w:lang w:eastAsia="zh-CN"/>
        </w:rPr>
        <w:t>标准，30分</w:t>
      </w:r>
    </w:p>
    <w:tbl>
      <w:tblPr>
        <w:tblStyle w:val="34"/>
        <w:tblpPr w:leftFromText="180" w:rightFromText="180" w:vertAnchor="text" w:horzAnchor="page" w:tblpX="1607" w:tblpY="130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5443"/>
        <w:gridCol w:w="1134"/>
      </w:tblGrid>
      <w:tr w14:paraId="15C4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shd w:val="clear" w:color="auto" w:fill="D9EAF7"/>
            <w:vAlign w:val="center"/>
          </w:tcPr>
          <w:p w14:paraId="0EF3F2CC">
            <w:pPr>
              <w:spacing w:after="0"/>
              <w:jc w:val="both"/>
              <w:rPr>
                <w:rFonts w:hint="eastAsia"/>
              </w:rPr>
            </w:pPr>
            <w:r>
              <w:rPr>
                <w:b/>
                <w:sz w:val="21"/>
              </w:rPr>
              <w:t>评</w:t>
            </w:r>
            <w:r>
              <w:rPr>
                <w:rFonts w:hint="eastAsia"/>
                <w:b/>
                <w:sz w:val="21"/>
                <w:lang w:eastAsia="zh-CN"/>
              </w:rPr>
              <w:t>分</w:t>
            </w:r>
            <w:r>
              <w:rPr>
                <w:b/>
                <w:sz w:val="21"/>
              </w:rPr>
              <w:t>项目</w:t>
            </w:r>
          </w:p>
        </w:tc>
        <w:tc>
          <w:tcPr>
            <w:tcW w:w="5443" w:type="dxa"/>
            <w:shd w:val="clear" w:color="auto" w:fill="D9EAF7"/>
            <w:vAlign w:val="center"/>
          </w:tcPr>
          <w:p w14:paraId="558BEAE1">
            <w:pPr>
              <w:spacing w:after="0"/>
              <w:jc w:val="both"/>
              <w:rPr>
                <w:rFonts w:hint="eastAsia"/>
              </w:rPr>
            </w:pPr>
            <w:r>
              <w:rPr>
                <w:b/>
                <w:sz w:val="21"/>
              </w:rPr>
              <w:t>评分标准</w:t>
            </w:r>
          </w:p>
        </w:tc>
        <w:tc>
          <w:tcPr>
            <w:tcW w:w="1134" w:type="dxa"/>
            <w:shd w:val="clear" w:color="auto" w:fill="D9EAF7"/>
            <w:vAlign w:val="center"/>
          </w:tcPr>
          <w:p w14:paraId="237C46CE">
            <w:pPr>
              <w:spacing w:after="0"/>
              <w:jc w:val="both"/>
              <w:rPr>
                <w:rFonts w:hint="eastAsia"/>
              </w:rPr>
            </w:pPr>
            <w:r>
              <w:rPr>
                <w:b/>
                <w:sz w:val="21"/>
              </w:rPr>
              <w:t>分值</w:t>
            </w:r>
          </w:p>
        </w:tc>
      </w:tr>
      <w:tr w14:paraId="05F1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17B16B8C">
            <w:pPr>
              <w:spacing w:after="0"/>
              <w:jc w:val="both"/>
              <w:rPr>
                <w:rFonts w:hint="eastAsia"/>
              </w:rPr>
            </w:pPr>
            <w:r>
              <w:rPr>
                <w:sz w:val="21"/>
              </w:rPr>
              <w:t>日期格式规范</w:t>
            </w:r>
          </w:p>
        </w:tc>
        <w:tc>
          <w:tcPr>
            <w:tcW w:w="5443" w:type="dxa"/>
            <w:vAlign w:val="center"/>
          </w:tcPr>
          <w:p w14:paraId="21C94786">
            <w:pPr>
              <w:spacing w:after="0"/>
              <w:jc w:val="both"/>
              <w:rPr>
                <w:rFonts w:hint="eastAsia"/>
                <w:sz w:val="21"/>
                <w:lang w:eastAsia="zh-CN"/>
              </w:rPr>
            </w:pPr>
            <w:r>
              <w:rPr>
                <w:sz w:val="21"/>
                <w:lang w:eastAsia="zh-CN"/>
              </w:rPr>
              <w:t>出生日期、初次滥用药物时间、填表日期等日期字段格式清楚，可识别并可用于计算</w:t>
            </w:r>
            <w:r>
              <w:rPr>
                <w:rFonts w:hint="eastAsia"/>
                <w:sz w:val="21"/>
                <w:lang w:eastAsia="zh-CN"/>
              </w:rPr>
              <w:t>。</w:t>
            </w:r>
          </w:p>
          <w:p w14:paraId="5348CE96">
            <w:pPr>
              <w:spacing w:after="0"/>
              <w:jc w:val="both"/>
              <w:rPr>
                <w:rFonts w:hint="eastAsia"/>
                <w:sz w:val="21"/>
                <w:lang w:eastAsia="zh-CN"/>
              </w:rPr>
            </w:pPr>
            <w:r>
              <w:rPr>
                <w:rFonts w:hint="eastAsia"/>
                <w:sz w:val="21"/>
                <w:lang w:eastAsia="zh-CN"/>
              </w:rPr>
              <w:t>①日期字段完全空白未填写，或填写内容完全无法识别为有效日期、完全无法用于计算与核对，得 0 分。</w:t>
            </w:r>
          </w:p>
          <w:p w14:paraId="31BBBA39">
            <w:pPr>
              <w:spacing w:after="0"/>
              <w:jc w:val="both"/>
              <w:rPr>
                <w:rFonts w:hint="eastAsia"/>
                <w:sz w:val="21"/>
                <w:lang w:eastAsia="zh-CN"/>
              </w:rPr>
            </w:pPr>
            <w:r>
              <w:rPr>
                <w:rFonts w:hint="eastAsia"/>
                <w:sz w:val="21"/>
                <w:lang w:eastAsia="zh-CN"/>
              </w:rPr>
              <w:t>②日期填写不完整（仅填年份缺月日、仅填年月缺日），或格式不统一，可人工识别但无法直接用于自动计算，得 1 分。</w:t>
            </w:r>
          </w:p>
          <w:p w14:paraId="3341F539">
            <w:pPr>
              <w:spacing w:after="0"/>
              <w:jc w:val="both"/>
              <w:rPr>
                <w:rFonts w:hint="eastAsia"/>
                <w:sz w:val="21"/>
                <w:lang w:eastAsia="zh-CN"/>
              </w:rPr>
            </w:pPr>
            <w:r>
              <w:rPr>
                <w:rFonts w:hint="eastAsia"/>
                <w:sz w:val="21"/>
                <w:lang w:eastAsia="zh-CN"/>
              </w:rPr>
              <w:t>③日期格式基本规范，仅存在全角/半角分隔符、标点微小差异，不影响识别与计算，得 1.5 分。</w:t>
            </w:r>
          </w:p>
          <w:p w14:paraId="6A7F23DD">
            <w:pPr>
              <w:spacing w:after="0"/>
              <w:jc w:val="both"/>
              <w:rPr>
                <w:rFonts w:hint="eastAsia"/>
                <w:sz w:val="21"/>
                <w:lang w:eastAsia="zh-CN"/>
              </w:rPr>
            </w:pPr>
            <w:r>
              <w:rPr>
                <w:rFonts w:hint="eastAsia"/>
                <w:sz w:val="21"/>
                <w:lang w:eastAsia="zh-CN"/>
              </w:rPr>
              <w:t>④所有日期字段格式统一、信息完整，可直接识别并用于计算，得 2 分。</w:t>
            </w:r>
          </w:p>
        </w:tc>
        <w:tc>
          <w:tcPr>
            <w:tcW w:w="1134" w:type="dxa"/>
            <w:vAlign w:val="center"/>
          </w:tcPr>
          <w:p w14:paraId="0824D890">
            <w:pPr>
              <w:spacing w:after="0"/>
              <w:jc w:val="both"/>
              <w:rPr>
                <w:rFonts w:hint="eastAsia"/>
              </w:rPr>
            </w:pPr>
            <w:r>
              <w:rPr>
                <w:sz w:val="21"/>
              </w:rPr>
              <w:t>2分</w:t>
            </w:r>
          </w:p>
        </w:tc>
      </w:tr>
      <w:tr w14:paraId="2BBB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57D7941E">
            <w:pPr>
              <w:spacing w:after="0"/>
              <w:jc w:val="both"/>
              <w:rPr>
                <w:rFonts w:hint="eastAsia"/>
                <w:lang w:eastAsia="zh-CN"/>
              </w:rPr>
            </w:pPr>
            <w:r>
              <w:rPr>
                <w:sz w:val="21"/>
                <w:lang w:eastAsia="zh-CN"/>
              </w:rPr>
              <w:t>药物名称可识别、可归类</w:t>
            </w:r>
          </w:p>
        </w:tc>
        <w:tc>
          <w:tcPr>
            <w:tcW w:w="5443" w:type="dxa"/>
            <w:vAlign w:val="center"/>
          </w:tcPr>
          <w:p w14:paraId="75479D2C">
            <w:pPr>
              <w:spacing w:after="0"/>
              <w:jc w:val="both"/>
              <w:rPr>
                <w:rFonts w:hint="eastAsia"/>
                <w:sz w:val="21"/>
                <w:lang w:eastAsia="zh-CN"/>
              </w:rPr>
            </w:pPr>
            <w:r>
              <w:rPr>
                <w:sz w:val="21"/>
                <w:lang w:eastAsia="zh-CN"/>
              </w:rPr>
              <w:t>主要滥用药物名称应填写为报告表列明药物名称，或能够明确识别并归入相应药物类别的名称或俗称</w:t>
            </w:r>
            <w:r>
              <w:rPr>
                <w:rFonts w:hint="eastAsia"/>
                <w:sz w:val="21"/>
                <w:lang w:eastAsia="zh-CN"/>
              </w:rPr>
              <w:t>；</w:t>
            </w:r>
            <w:r>
              <w:rPr>
                <w:sz w:val="21"/>
                <w:lang w:eastAsia="zh-CN"/>
              </w:rPr>
              <w:t>不得仅填写无法识别的缩写、符号、地方黑话或含义不明的别名</w:t>
            </w:r>
            <w:r>
              <w:rPr>
                <w:rFonts w:hint="eastAsia"/>
                <w:sz w:val="21"/>
                <w:lang w:eastAsia="zh-CN"/>
              </w:rPr>
              <w:t>。</w:t>
            </w:r>
          </w:p>
          <w:p w14:paraId="4797F49A">
            <w:pPr>
              <w:spacing w:after="0"/>
              <w:jc w:val="both"/>
              <w:rPr>
                <w:rFonts w:hint="eastAsia"/>
                <w:sz w:val="21"/>
                <w:lang w:eastAsia="zh-CN"/>
              </w:rPr>
            </w:pPr>
            <w:r>
              <w:rPr>
                <w:rFonts w:hint="eastAsia"/>
                <w:sz w:val="21"/>
                <w:lang w:eastAsia="zh-CN"/>
              </w:rPr>
              <w:t>①主要滥用药物全部使用无法识别的缩写、</w:t>
            </w:r>
            <w:r>
              <w:rPr>
                <w:sz w:val="21"/>
                <w:lang w:eastAsia="zh-CN"/>
              </w:rPr>
              <w:t>符号</w:t>
            </w:r>
            <w:r>
              <w:rPr>
                <w:rFonts w:hint="eastAsia"/>
                <w:sz w:val="21"/>
                <w:lang w:eastAsia="zh-CN"/>
              </w:rPr>
              <w:t>、地方黑话或不明别名，完全无法归入对应药物类别；或药物名称完全空白未填，得 0 分。</w:t>
            </w:r>
          </w:p>
          <w:p w14:paraId="6E1E1EA7">
            <w:pPr>
              <w:spacing w:after="0"/>
              <w:jc w:val="both"/>
              <w:rPr>
                <w:rFonts w:hint="eastAsia"/>
                <w:sz w:val="21"/>
                <w:lang w:eastAsia="zh-CN"/>
              </w:rPr>
            </w:pPr>
            <w:r>
              <w:rPr>
                <w:rFonts w:hint="eastAsia"/>
                <w:sz w:val="21"/>
                <w:lang w:eastAsia="zh-CN"/>
              </w:rPr>
              <w:t>②存在 1 种药物完全无法识别归类；或 2 种及以上药物需人工推测才能归入对应类别，扣 2-3 分（1 种无法识别扣 3 分；2 种及以上需推测扣 2 分），得 1-2 分。</w:t>
            </w:r>
          </w:p>
          <w:p w14:paraId="1C02D6BC">
            <w:pPr>
              <w:spacing w:after="0"/>
              <w:jc w:val="both"/>
              <w:rPr>
                <w:rFonts w:hint="eastAsia"/>
                <w:sz w:val="21"/>
                <w:lang w:eastAsia="zh-CN"/>
              </w:rPr>
            </w:pPr>
            <w:r>
              <w:rPr>
                <w:rFonts w:hint="eastAsia"/>
                <w:sz w:val="21"/>
                <w:lang w:eastAsia="zh-CN"/>
              </w:rPr>
              <w:t>③仅 1 种药物使用非通用名但俗称明确、可直接归类；或存在错别字但不影响药物识别，得 3 分。</w:t>
            </w:r>
          </w:p>
          <w:p w14:paraId="1DD536FE">
            <w:pPr>
              <w:spacing w:after="0"/>
              <w:jc w:val="both"/>
              <w:rPr>
                <w:rFonts w:hint="eastAsia"/>
                <w:lang w:eastAsia="zh-CN"/>
              </w:rPr>
            </w:pPr>
            <w:r>
              <w:rPr>
                <w:rFonts w:hint="eastAsia"/>
                <w:sz w:val="21"/>
                <w:lang w:eastAsia="zh-CN"/>
              </w:rPr>
              <w:t>④全部使用报告表列明药物名称，或名称清晰可直接归入对应药物类别，无歧义，得 4 分。</w:t>
            </w:r>
          </w:p>
        </w:tc>
        <w:tc>
          <w:tcPr>
            <w:tcW w:w="1134" w:type="dxa"/>
            <w:vAlign w:val="center"/>
          </w:tcPr>
          <w:p w14:paraId="3BCDEF96">
            <w:pPr>
              <w:spacing w:after="0"/>
              <w:jc w:val="both"/>
              <w:rPr>
                <w:rFonts w:hint="eastAsia"/>
              </w:rPr>
            </w:pPr>
            <w:r>
              <w:rPr>
                <w:sz w:val="21"/>
              </w:rPr>
              <w:t>4分</w:t>
            </w:r>
          </w:p>
        </w:tc>
      </w:tr>
      <w:tr w14:paraId="6151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44B6D7FD">
            <w:pPr>
              <w:spacing w:after="0"/>
              <w:jc w:val="both"/>
              <w:rPr>
                <w:rFonts w:hint="eastAsia"/>
              </w:rPr>
            </w:pPr>
            <w:r>
              <w:rPr>
                <w:sz w:val="21"/>
              </w:rPr>
              <w:t>“其他”项说明完整</w:t>
            </w:r>
          </w:p>
        </w:tc>
        <w:tc>
          <w:tcPr>
            <w:tcW w:w="5443" w:type="dxa"/>
            <w:vAlign w:val="center"/>
          </w:tcPr>
          <w:p w14:paraId="5C29AC18">
            <w:pPr>
              <w:spacing w:after="0"/>
              <w:jc w:val="both"/>
              <w:rPr>
                <w:rFonts w:hint="eastAsia"/>
                <w:sz w:val="21"/>
                <w:lang w:eastAsia="zh-CN"/>
              </w:rPr>
            </w:pPr>
            <w:r>
              <w:rPr>
                <w:sz w:val="21"/>
                <w:lang w:eastAsia="zh-CN"/>
              </w:rPr>
              <w:t>选择“其他”“其它止咳药水”“其它药物”等选项时，应填写具体名称或文字说明</w:t>
            </w:r>
            <w:r>
              <w:rPr>
                <w:rFonts w:hint="eastAsia"/>
                <w:sz w:val="21"/>
                <w:lang w:eastAsia="zh-CN"/>
              </w:rPr>
              <w:t>。</w:t>
            </w:r>
          </w:p>
          <w:p w14:paraId="6C287805">
            <w:pPr>
              <w:spacing w:after="0"/>
              <w:jc w:val="both"/>
              <w:rPr>
                <w:rFonts w:hint="eastAsia"/>
                <w:sz w:val="21"/>
                <w:lang w:eastAsia="zh-CN"/>
              </w:rPr>
            </w:pPr>
            <w:r>
              <w:rPr>
                <w:rFonts w:hint="eastAsia"/>
                <w:sz w:val="21"/>
                <w:lang w:eastAsia="zh-CN"/>
              </w:rPr>
              <w:t>①选择“其他”“其它止咳药水”“其它药物”等选项，但完全未填写任何具体说明；或填写内容与药物滥用完全无关，得 0 分。</w:t>
            </w:r>
          </w:p>
          <w:p w14:paraId="74950E53">
            <w:pPr>
              <w:spacing w:after="0"/>
              <w:jc w:val="both"/>
              <w:rPr>
                <w:rFonts w:hint="eastAsia"/>
                <w:sz w:val="21"/>
                <w:lang w:eastAsia="zh-CN"/>
              </w:rPr>
            </w:pPr>
            <w:r>
              <w:rPr>
                <w:rFonts w:hint="eastAsia"/>
                <w:sz w:val="21"/>
                <w:lang w:eastAsia="zh-CN"/>
              </w:rPr>
              <w:t>②选择“其他”类选项，仅填写模糊表述（如“其他毒品”“止咳水”），未明确具体药物名称，得 1 分。</w:t>
            </w:r>
          </w:p>
          <w:p w14:paraId="0B833715">
            <w:pPr>
              <w:spacing w:after="0"/>
              <w:jc w:val="both"/>
              <w:rPr>
                <w:rFonts w:hint="eastAsia"/>
                <w:sz w:val="21"/>
                <w:lang w:eastAsia="zh-CN"/>
              </w:rPr>
            </w:pPr>
            <w:r>
              <w:rPr>
                <w:rFonts w:hint="eastAsia"/>
                <w:sz w:val="21"/>
                <w:lang w:eastAsia="zh-CN"/>
              </w:rPr>
              <w:t>③填写了具体药物名称，但存在简写、错别字，不影响识别，得 1.5 分。</w:t>
            </w:r>
          </w:p>
          <w:p w14:paraId="52ECCC3D">
            <w:pPr>
              <w:spacing w:after="0"/>
              <w:jc w:val="both"/>
              <w:rPr>
                <w:rFonts w:hint="eastAsia"/>
                <w:lang w:eastAsia="zh-CN"/>
              </w:rPr>
            </w:pPr>
            <w:r>
              <w:rPr>
                <w:rFonts w:hint="eastAsia"/>
                <w:sz w:val="21"/>
                <w:lang w:eastAsia="zh-CN"/>
              </w:rPr>
              <w:t>④选择“其他”类选项时，清晰填写具体药物名称或文字说明，信息完整可识别，得 2 分。</w:t>
            </w:r>
          </w:p>
        </w:tc>
        <w:tc>
          <w:tcPr>
            <w:tcW w:w="1134" w:type="dxa"/>
            <w:vAlign w:val="center"/>
          </w:tcPr>
          <w:p w14:paraId="3FD1E576">
            <w:pPr>
              <w:spacing w:after="0"/>
              <w:jc w:val="both"/>
              <w:rPr>
                <w:rFonts w:hint="eastAsia"/>
              </w:rPr>
            </w:pPr>
            <w:r>
              <w:rPr>
                <w:sz w:val="21"/>
              </w:rPr>
              <w:t>2分</w:t>
            </w:r>
          </w:p>
        </w:tc>
      </w:tr>
    </w:tbl>
    <w:p w14:paraId="41319F83">
      <w:pPr>
        <w:keepNext w:val="0"/>
        <w:keepLines w:val="0"/>
        <w:pageBreakBefore w:val="0"/>
        <w:widowControl/>
        <w:kinsoku/>
        <w:wordWrap/>
        <w:overflowPunct/>
        <w:topLinePunct w:val="0"/>
        <w:autoSpaceDE/>
        <w:autoSpaceDN/>
        <w:bidi w:val="0"/>
        <w:adjustRightInd/>
        <w:snapToGrid/>
        <w:spacing w:after="0" w:line="520" w:lineRule="exact"/>
        <w:ind w:firstLine="480"/>
        <w:jc w:val="both"/>
        <w:textAlignment w:val="auto"/>
        <w:rPr>
          <w:rFonts w:hint="eastAsia"/>
          <w:lang w:eastAsia="zh-CN"/>
        </w:rPr>
      </w:pPr>
      <w:r>
        <w:rPr>
          <w:lang w:eastAsia="zh-CN"/>
        </w:rPr>
        <w:t>规范性主要评估已填写信息是否符合格式要求、逻辑要求和合理性要求。</w:t>
      </w:r>
    </w:p>
    <w:p w14:paraId="3097E886">
      <w:pPr>
        <w:keepNext w:val="0"/>
        <w:keepLines w:val="0"/>
        <w:pageBreakBefore w:val="0"/>
        <w:widowControl/>
        <w:numPr>
          <w:ilvl w:val="0"/>
          <w:numId w:val="9"/>
        </w:numPr>
        <w:kinsoku/>
        <w:wordWrap/>
        <w:overflowPunct/>
        <w:topLinePunct w:val="0"/>
        <w:autoSpaceDE/>
        <w:autoSpaceDN/>
        <w:bidi w:val="0"/>
        <w:adjustRightInd/>
        <w:snapToGrid/>
        <w:spacing w:before="120" w:after="0" w:line="520" w:lineRule="exact"/>
        <w:jc w:val="both"/>
        <w:textAlignment w:val="auto"/>
        <w:rPr>
          <w:b/>
          <w:lang w:eastAsia="zh-CN"/>
        </w:rPr>
      </w:pPr>
      <w:r>
        <w:rPr>
          <w:b/>
          <w:lang w:eastAsia="zh-CN"/>
        </w:rPr>
        <w:t>数据格式与标准化，8分</w:t>
      </w:r>
    </w:p>
    <w:p w14:paraId="637CB115">
      <w:pPr>
        <w:spacing w:after="0" w:line="360" w:lineRule="auto"/>
        <w:ind w:firstLine="480"/>
        <w:jc w:val="both"/>
        <w:rPr>
          <w:rFonts w:hint="eastAsia"/>
          <w:lang w:eastAsia="zh-CN"/>
        </w:rPr>
      </w:pPr>
      <w:r>
        <w:rPr>
          <w:lang w:eastAsia="zh-CN"/>
        </w:rPr>
        <w:t>说明：报告表第11(b)题允许填写“主要滥用药物名称或俗称”，因此本标准不简单要求全部使用药品通用名，而是要求名称清楚、可识别、可归类。</w:t>
      </w:r>
    </w:p>
    <w:p w14:paraId="38B7670F">
      <w:pPr>
        <w:spacing w:before="120" w:after="0" w:line="360" w:lineRule="auto"/>
        <w:jc w:val="both"/>
        <w:rPr>
          <w:rFonts w:hint="eastAsia"/>
        </w:rPr>
      </w:pPr>
      <w:r>
        <w:rPr>
          <w:rFonts w:hint="eastAsia"/>
          <w:b/>
          <w:lang w:eastAsia="zh-CN"/>
        </w:rPr>
        <w:t>2、</w:t>
      </w:r>
      <w:r>
        <w:rPr>
          <w:b/>
        </w:rPr>
        <w:t>逻辑一致性，16分</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5443"/>
        <w:gridCol w:w="1134"/>
      </w:tblGrid>
      <w:tr w14:paraId="75C1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9EAF7"/>
            <w:vAlign w:val="center"/>
          </w:tcPr>
          <w:p w14:paraId="3212BC49">
            <w:pPr>
              <w:spacing w:after="0"/>
              <w:jc w:val="both"/>
              <w:rPr>
                <w:rFonts w:hint="eastAsia"/>
              </w:rPr>
            </w:pPr>
            <w:r>
              <w:rPr>
                <w:b/>
                <w:sz w:val="21"/>
              </w:rPr>
              <w:t>评</w:t>
            </w:r>
            <w:r>
              <w:rPr>
                <w:rFonts w:hint="eastAsia"/>
                <w:b/>
                <w:sz w:val="21"/>
                <w:lang w:eastAsia="zh-CN"/>
              </w:rPr>
              <w:t>分</w:t>
            </w:r>
            <w:r>
              <w:rPr>
                <w:b/>
                <w:sz w:val="21"/>
              </w:rPr>
              <w:t>项目</w:t>
            </w:r>
          </w:p>
        </w:tc>
        <w:tc>
          <w:tcPr>
            <w:tcW w:w="5443" w:type="dxa"/>
            <w:shd w:val="clear" w:color="auto" w:fill="D9EAF7"/>
            <w:vAlign w:val="center"/>
          </w:tcPr>
          <w:p w14:paraId="265E0B68">
            <w:pPr>
              <w:spacing w:after="0"/>
              <w:jc w:val="both"/>
              <w:rPr>
                <w:rFonts w:hint="eastAsia"/>
              </w:rPr>
            </w:pPr>
            <w:r>
              <w:rPr>
                <w:b/>
                <w:sz w:val="21"/>
              </w:rPr>
              <w:t>评分标准</w:t>
            </w:r>
          </w:p>
        </w:tc>
        <w:tc>
          <w:tcPr>
            <w:tcW w:w="1134" w:type="dxa"/>
            <w:shd w:val="clear" w:color="auto" w:fill="D9EAF7"/>
            <w:vAlign w:val="center"/>
          </w:tcPr>
          <w:p w14:paraId="185F8893">
            <w:pPr>
              <w:spacing w:after="0"/>
              <w:jc w:val="both"/>
              <w:rPr>
                <w:rFonts w:hint="eastAsia"/>
              </w:rPr>
            </w:pPr>
            <w:r>
              <w:rPr>
                <w:b/>
                <w:sz w:val="21"/>
              </w:rPr>
              <w:t>分值</w:t>
            </w:r>
          </w:p>
        </w:tc>
      </w:tr>
      <w:tr w14:paraId="4447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2B8E6E9">
            <w:pPr>
              <w:spacing w:after="0"/>
              <w:jc w:val="both"/>
              <w:rPr>
                <w:rFonts w:hint="eastAsia"/>
              </w:rPr>
            </w:pPr>
            <w:r>
              <w:rPr>
                <w:sz w:val="21"/>
              </w:rPr>
              <w:t>时间逻辑无误</w:t>
            </w:r>
          </w:p>
        </w:tc>
        <w:tc>
          <w:tcPr>
            <w:tcW w:w="5443" w:type="dxa"/>
            <w:vAlign w:val="center"/>
          </w:tcPr>
          <w:p w14:paraId="67659CA9">
            <w:pPr>
              <w:spacing w:after="0"/>
              <w:jc w:val="both"/>
              <w:rPr>
                <w:rFonts w:hint="eastAsia"/>
                <w:sz w:val="21"/>
                <w:lang w:eastAsia="zh-CN"/>
              </w:rPr>
            </w:pPr>
            <w:r>
              <w:rPr>
                <w:sz w:val="21"/>
                <w:lang w:eastAsia="zh-CN"/>
              </w:rPr>
              <w:t>出生日期早于初次滥用药物时间，初次滥用药物时间不晚于填表日期</w:t>
            </w:r>
            <w:r>
              <w:rPr>
                <w:rFonts w:hint="eastAsia"/>
                <w:sz w:val="21"/>
                <w:lang w:eastAsia="zh-CN"/>
              </w:rPr>
              <w:t>。</w:t>
            </w:r>
          </w:p>
          <w:p w14:paraId="02BBA00D">
            <w:pPr>
              <w:spacing w:after="0"/>
              <w:jc w:val="both"/>
              <w:rPr>
                <w:rFonts w:hint="eastAsia"/>
                <w:sz w:val="21"/>
                <w:lang w:eastAsia="zh-CN"/>
              </w:rPr>
            </w:pPr>
            <w:r>
              <w:rPr>
                <w:rFonts w:hint="eastAsia"/>
                <w:sz w:val="21"/>
                <w:lang w:eastAsia="zh-CN"/>
              </w:rPr>
              <w:t>①存在2处及以上核心时间逻辑矛盾（出生日期晚于初次滥用时间、初次滥用时间晚于填表日期同时出现）；或时间完全空白导致无法校验逻辑，得 0 分。</w:t>
            </w:r>
          </w:p>
          <w:p w14:paraId="141CA177">
            <w:pPr>
              <w:spacing w:after="0"/>
              <w:jc w:val="both"/>
              <w:rPr>
                <w:rFonts w:hint="eastAsia"/>
                <w:sz w:val="21"/>
                <w:lang w:eastAsia="zh-CN"/>
              </w:rPr>
            </w:pPr>
            <w:r>
              <w:rPr>
                <w:rFonts w:hint="eastAsia"/>
                <w:sz w:val="21"/>
                <w:lang w:eastAsia="zh-CN"/>
              </w:rPr>
              <w:t>②存在1处核心时间逻辑矛盾，且时间差距超过1年，明显不符合常理；或日期仅精确到年份，边界年份逻辑存疑但无实锤矛盾，得 2 分。</w:t>
            </w:r>
          </w:p>
          <w:p w14:paraId="312EADA2">
            <w:pPr>
              <w:spacing w:after="0"/>
              <w:jc w:val="both"/>
              <w:rPr>
                <w:rFonts w:hint="eastAsia"/>
                <w:sz w:val="21"/>
                <w:lang w:eastAsia="zh-CN"/>
              </w:rPr>
            </w:pPr>
            <w:r>
              <w:rPr>
                <w:rFonts w:hint="eastAsia"/>
                <w:sz w:val="21"/>
                <w:lang w:eastAsia="zh-CN"/>
              </w:rPr>
              <w:t>③时间逻辑存在微小偏差（如初次滥用时间与填表日期为同一天）；或因日期精度不足导致逻辑存在合理范围内的疑问，结合上下文可判断为误差，得 3 分。</w:t>
            </w:r>
          </w:p>
          <w:p w14:paraId="446DA5E6">
            <w:pPr>
              <w:spacing w:after="0"/>
              <w:jc w:val="both"/>
              <w:rPr>
                <w:rFonts w:hint="eastAsia"/>
                <w:sz w:val="21"/>
                <w:lang w:eastAsia="zh-CN"/>
              </w:rPr>
            </w:pPr>
            <w:r>
              <w:rPr>
                <w:rFonts w:hint="eastAsia"/>
                <w:sz w:val="21"/>
                <w:lang w:eastAsia="zh-CN"/>
              </w:rPr>
              <w:t>④出生日期早于初次滥用药物时间，初次滥用药物时间不晚于填表日期，逻辑完全无误，得 4 分。</w:t>
            </w:r>
          </w:p>
        </w:tc>
        <w:tc>
          <w:tcPr>
            <w:tcW w:w="1134" w:type="dxa"/>
            <w:vAlign w:val="center"/>
          </w:tcPr>
          <w:p w14:paraId="5DBE66EA">
            <w:pPr>
              <w:spacing w:after="0"/>
              <w:jc w:val="both"/>
              <w:rPr>
                <w:rFonts w:hint="eastAsia"/>
              </w:rPr>
            </w:pPr>
            <w:r>
              <w:rPr>
                <w:sz w:val="21"/>
              </w:rPr>
              <w:t>4分</w:t>
            </w:r>
          </w:p>
        </w:tc>
      </w:tr>
      <w:tr w14:paraId="024C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F7DAA79">
            <w:pPr>
              <w:spacing w:after="0"/>
              <w:jc w:val="both"/>
              <w:rPr>
                <w:rFonts w:hint="eastAsia"/>
                <w:lang w:eastAsia="zh-CN"/>
              </w:rPr>
            </w:pPr>
            <w:r>
              <w:rPr>
                <w:sz w:val="21"/>
                <w:lang w:eastAsia="zh-CN"/>
              </w:rPr>
              <w:t>首次滥用年龄逻辑合理</w:t>
            </w:r>
          </w:p>
        </w:tc>
        <w:tc>
          <w:tcPr>
            <w:tcW w:w="5443" w:type="dxa"/>
            <w:vAlign w:val="center"/>
          </w:tcPr>
          <w:p w14:paraId="4A051787">
            <w:pPr>
              <w:spacing w:after="0"/>
              <w:jc w:val="both"/>
              <w:rPr>
                <w:rFonts w:hint="eastAsia"/>
                <w:sz w:val="21"/>
                <w:lang w:eastAsia="zh-CN"/>
              </w:rPr>
            </w:pPr>
            <w:r>
              <w:rPr>
                <w:sz w:val="21"/>
                <w:lang w:eastAsia="zh-CN"/>
              </w:rPr>
              <w:t>第11(b)题每种主要滥用药物的首次滥用年龄应不大于填表时年龄；原则上不应小于根据出生日期和第10题初次滥用药物时间推算的首次滥用任何药物年龄。多药滥用、回忆误差或时间仅精确到年份时，应结合具体情况判断，不宜机械扣分</w:t>
            </w:r>
            <w:r>
              <w:rPr>
                <w:rFonts w:hint="eastAsia"/>
                <w:sz w:val="21"/>
                <w:lang w:eastAsia="zh-CN"/>
              </w:rPr>
              <w:t>。</w:t>
            </w:r>
          </w:p>
          <w:p w14:paraId="56F5BB2E">
            <w:pPr>
              <w:spacing w:after="0"/>
              <w:jc w:val="both"/>
              <w:rPr>
                <w:rFonts w:hint="eastAsia"/>
                <w:sz w:val="21"/>
                <w:lang w:eastAsia="zh-CN"/>
              </w:rPr>
            </w:pPr>
            <w:r>
              <w:rPr>
                <w:rFonts w:hint="eastAsia"/>
                <w:sz w:val="21"/>
                <w:lang w:eastAsia="zh-CN"/>
              </w:rPr>
              <w:t>①首次滥用年龄明显超出合理范围（小于 6 周岁或大于填表时年龄 5 岁以上）；或年龄字段完全空白无法校验，得 0 分。</w:t>
            </w:r>
          </w:p>
          <w:p w14:paraId="7CA6B799">
            <w:pPr>
              <w:spacing w:after="0"/>
              <w:jc w:val="both"/>
              <w:rPr>
                <w:rFonts w:hint="eastAsia"/>
                <w:sz w:val="21"/>
                <w:lang w:eastAsia="zh-CN"/>
              </w:rPr>
            </w:pPr>
            <w:r>
              <w:rPr>
                <w:rFonts w:hint="eastAsia"/>
                <w:sz w:val="21"/>
                <w:lang w:eastAsia="zh-CN"/>
              </w:rPr>
              <w:t>②首次滥用年龄与推算年龄相差 2 岁以上且无合理解释；多药滥用时 2 种及以上药物首次滥用年龄存在明显逻辑冲突，得2分。</w:t>
            </w:r>
          </w:p>
          <w:p w14:paraId="334207B1">
            <w:pPr>
              <w:spacing w:after="0"/>
              <w:jc w:val="both"/>
              <w:rPr>
                <w:rFonts w:hint="eastAsia"/>
                <w:sz w:val="21"/>
                <w:lang w:eastAsia="zh-CN"/>
              </w:rPr>
            </w:pPr>
            <w:r>
              <w:rPr>
                <w:rFonts w:hint="eastAsia"/>
                <w:sz w:val="21"/>
                <w:lang w:eastAsia="zh-CN"/>
              </w:rPr>
              <w:t>③首次滥用年龄与推算年龄相差 1-2 岁，属于回忆误差合理范围；或仅 1 种药物年龄存在微小偏差，整体逻辑自洽，得3分。</w:t>
            </w:r>
          </w:p>
          <w:p w14:paraId="5D324A1D">
            <w:pPr>
              <w:spacing w:after="0"/>
              <w:jc w:val="both"/>
              <w:rPr>
                <w:rFonts w:hint="eastAsia"/>
                <w:lang w:eastAsia="zh-CN"/>
              </w:rPr>
            </w:pPr>
            <w:r>
              <w:rPr>
                <w:rFonts w:hint="eastAsia"/>
                <w:sz w:val="21"/>
                <w:lang w:eastAsia="zh-CN"/>
              </w:rPr>
              <w:t>④各药物首次滥用年龄均不大于填表时年龄，与推算年龄基本吻合，逻辑合理，得4分。</w:t>
            </w:r>
          </w:p>
        </w:tc>
        <w:tc>
          <w:tcPr>
            <w:tcW w:w="1134" w:type="dxa"/>
            <w:vAlign w:val="center"/>
          </w:tcPr>
          <w:p w14:paraId="4F71AC54">
            <w:pPr>
              <w:spacing w:after="0"/>
              <w:jc w:val="both"/>
              <w:rPr>
                <w:rFonts w:hint="eastAsia"/>
              </w:rPr>
            </w:pPr>
            <w:r>
              <w:rPr>
                <w:rFonts w:hint="eastAsia"/>
                <w:sz w:val="21"/>
                <w:lang w:eastAsia="zh-CN"/>
              </w:rPr>
              <w:t>4</w:t>
            </w:r>
            <w:r>
              <w:rPr>
                <w:sz w:val="21"/>
              </w:rPr>
              <w:t>分</w:t>
            </w:r>
          </w:p>
        </w:tc>
      </w:tr>
      <w:tr w14:paraId="28B7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1D3B19E6">
            <w:pPr>
              <w:spacing w:after="0"/>
              <w:jc w:val="both"/>
              <w:rPr>
                <w:rFonts w:hint="eastAsia"/>
              </w:rPr>
            </w:pPr>
            <w:r>
              <w:rPr>
                <w:sz w:val="21"/>
              </w:rPr>
              <w:t>药物列表前后一致</w:t>
            </w:r>
          </w:p>
        </w:tc>
        <w:tc>
          <w:tcPr>
            <w:tcW w:w="5443" w:type="dxa"/>
            <w:vAlign w:val="center"/>
          </w:tcPr>
          <w:p w14:paraId="39A8A70D">
            <w:pPr>
              <w:spacing w:after="0"/>
              <w:jc w:val="both"/>
              <w:rPr>
                <w:rFonts w:hint="eastAsia"/>
                <w:sz w:val="21"/>
                <w:lang w:eastAsia="zh-CN"/>
              </w:rPr>
            </w:pPr>
            <w:r>
              <w:rPr>
                <w:sz w:val="21"/>
                <w:lang w:eastAsia="zh-CN"/>
              </w:rPr>
              <w:t>第11(b)题填写的主要滥用药物应在第11(a)题中有相应选择或说明</w:t>
            </w:r>
            <w:r>
              <w:rPr>
                <w:rFonts w:hint="eastAsia"/>
                <w:sz w:val="21"/>
                <w:lang w:eastAsia="zh-CN"/>
              </w:rPr>
              <w:t>。</w:t>
            </w:r>
          </w:p>
          <w:p w14:paraId="0F0A83A2">
            <w:pPr>
              <w:spacing w:after="0"/>
              <w:jc w:val="both"/>
              <w:rPr>
                <w:rFonts w:hint="eastAsia"/>
                <w:sz w:val="21"/>
                <w:lang w:eastAsia="zh-CN"/>
              </w:rPr>
            </w:pPr>
            <w:r>
              <w:rPr>
                <w:rFonts w:hint="eastAsia"/>
                <w:sz w:val="21"/>
                <w:lang w:eastAsia="zh-CN"/>
              </w:rPr>
              <w:t>①第11(b)题填写的主要滥用药物，有2种及以上在第 11(a)题中完全无对应选择；或两题药物填写完全脱节，得 0 分。</w:t>
            </w:r>
          </w:p>
          <w:p w14:paraId="2B8E2CC8">
            <w:pPr>
              <w:spacing w:after="0"/>
              <w:jc w:val="both"/>
              <w:rPr>
                <w:rFonts w:hint="eastAsia"/>
                <w:sz w:val="21"/>
                <w:lang w:eastAsia="zh-CN"/>
              </w:rPr>
            </w:pPr>
            <w:r>
              <w:rPr>
                <w:rFonts w:hint="eastAsia"/>
                <w:sz w:val="21"/>
                <w:lang w:eastAsia="zh-CN"/>
              </w:rPr>
              <w:t>②第11(b)题有1种主要滥用药物在第11(a)题中未对应选择；或11(a)勾选的药物有1种未在11(b)中对应填写，得1分。</w:t>
            </w:r>
          </w:p>
          <w:p w14:paraId="5164CF70">
            <w:pPr>
              <w:spacing w:after="0"/>
              <w:jc w:val="both"/>
              <w:rPr>
                <w:rFonts w:hint="eastAsia"/>
                <w:sz w:val="21"/>
                <w:lang w:eastAsia="zh-CN"/>
              </w:rPr>
            </w:pPr>
            <w:r>
              <w:rPr>
                <w:rFonts w:hint="eastAsia"/>
                <w:sz w:val="21"/>
                <w:lang w:eastAsia="zh-CN"/>
              </w:rPr>
              <w:t>③药物类别对应一致，仅具体名称表述存在差异但不影响对应关系；或存在1 种药物漏勾选但有文字说明，得 2分。</w:t>
            </w:r>
          </w:p>
          <w:p w14:paraId="7DE15F6F">
            <w:pPr>
              <w:spacing w:after="0"/>
              <w:jc w:val="both"/>
              <w:rPr>
                <w:rFonts w:hint="eastAsia"/>
                <w:sz w:val="21"/>
                <w:lang w:eastAsia="zh-CN"/>
              </w:rPr>
            </w:pPr>
            <w:r>
              <w:rPr>
                <w:rFonts w:hint="eastAsia"/>
                <w:sz w:val="21"/>
                <w:lang w:eastAsia="zh-CN"/>
              </w:rPr>
              <w:t>④11(a)题选择的药物与11(b)题填写的主要滥用药物一一对应，无遗漏、无额外，得3分。</w:t>
            </w:r>
          </w:p>
        </w:tc>
        <w:tc>
          <w:tcPr>
            <w:tcW w:w="1134" w:type="dxa"/>
            <w:vAlign w:val="center"/>
          </w:tcPr>
          <w:p w14:paraId="04CF1EC3">
            <w:pPr>
              <w:spacing w:after="0"/>
              <w:jc w:val="both"/>
              <w:rPr>
                <w:rFonts w:hint="eastAsia"/>
              </w:rPr>
            </w:pPr>
            <w:r>
              <w:rPr>
                <w:rFonts w:hint="eastAsia"/>
                <w:sz w:val="21"/>
                <w:lang w:eastAsia="zh-CN"/>
              </w:rPr>
              <w:t>3</w:t>
            </w:r>
            <w:r>
              <w:rPr>
                <w:sz w:val="21"/>
              </w:rPr>
              <w:t>分</w:t>
            </w:r>
          </w:p>
        </w:tc>
      </w:tr>
      <w:tr w14:paraId="0021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A97FE2A">
            <w:pPr>
              <w:spacing w:after="0"/>
              <w:jc w:val="both"/>
              <w:rPr>
                <w:rFonts w:hint="eastAsia"/>
                <w:lang w:eastAsia="zh-CN"/>
              </w:rPr>
            </w:pPr>
            <w:r>
              <w:rPr>
                <w:sz w:val="21"/>
                <w:lang w:eastAsia="zh-CN"/>
              </w:rPr>
              <w:t>联立式调查题行内对应一致</w:t>
            </w:r>
          </w:p>
        </w:tc>
        <w:tc>
          <w:tcPr>
            <w:tcW w:w="5443" w:type="dxa"/>
            <w:vAlign w:val="center"/>
          </w:tcPr>
          <w:p w14:paraId="001396D8">
            <w:pPr>
              <w:spacing w:after="0"/>
              <w:jc w:val="both"/>
              <w:rPr>
                <w:rFonts w:hint="eastAsia"/>
                <w:sz w:val="21"/>
                <w:lang w:eastAsia="zh-CN"/>
              </w:rPr>
            </w:pPr>
            <w:r>
              <w:rPr>
                <w:sz w:val="21"/>
                <w:lang w:eastAsia="zh-CN"/>
              </w:rPr>
              <w:t>同一主要滥用药物对应行内的</w:t>
            </w:r>
            <w:r>
              <w:rPr>
                <w:rFonts w:hint="eastAsia"/>
                <w:sz w:val="21"/>
                <w:lang w:eastAsia="zh-CN"/>
              </w:rPr>
              <w:t>获得</w:t>
            </w:r>
            <w:r>
              <w:rPr>
                <w:sz w:val="21"/>
                <w:lang w:eastAsia="zh-CN"/>
              </w:rPr>
              <w:t>途径、</w:t>
            </w:r>
            <w:r>
              <w:rPr>
                <w:rFonts w:hint="eastAsia"/>
                <w:sz w:val="21"/>
                <w:lang w:eastAsia="zh-CN"/>
              </w:rPr>
              <w:t>使用</w:t>
            </w:r>
            <w:r>
              <w:rPr>
                <w:sz w:val="21"/>
                <w:lang w:eastAsia="zh-CN"/>
              </w:rPr>
              <w:t>方式、</w:t>
            </w:r>
            <w:r>
              <w:rPr>
                <w:rFonts w:hint="eastAsia"/>
                <w:sz w:val="21"/>
                <w:lang w:eastAsia="zh-CN"/>
              </w:rPr>
              <w:t>滥用</w:t>
            </w:r>
            <w:r>
              <w:rPr>
                <w:sz w:val="21"/>
                <w:lang w:eastAsia="zh-CN"/>
              </w:rPr>
              <w:t>次数、用量、花费等信息未出现明显错位或混填</w:t>
            </w:r>
            <w:r>
              <w:rPr>
                <w:rFonts w:hint="eastAsia"/>
                <w:sz w:val="21"/>
                <w:lang w:eastAsia="zh-CN"/>
              </w:rPr>
              <w:t>。</w:t>
            </w:r>
          </w:p>
          <w:p w14:paraId="369E5899">
            <w:pPr>
              <w:spacing w:after="0"/>
              <w:jc w:val="both"/>
              <w:rPr>
                <w:rFonts w:hint="eastAsia"/>
                <w:sz w:val="21"/>
                <w:lang w:eastAsia="zh-CN"/>
              </w:rPr>
            </w:pPr>
            <w:r>
              <w:rPr>
                <w:rFonts w:hint="eastAsia"/>
                <w:sz w:val="21"/>
                <w:lang w:eastAsia="zh-CN"/>
              </w:rPr>
              <w:t>①2行及以上药物的获得</w:t>
            </w:r>
            <w:r>
              <w:rPr>
                <w:sz w:val="21"/>
                <w:lang w:eastAsia="zh-CN"/>
              </w:rPr>
              <w:t>途径、</w:t>
            </w:r>
            <w:r>
              <w:rPr>
                <w:rFonts w:hint="eastAsia"/>
                <w:sz w:val="21"/>
                <w:lang w:eastAsia="zh-CN"/>
              </w:rPr>
              <w:t>使用</w:t>
            </w:r>
            <w:r>
              <w:rPr>
                <w:sz w:val="21"/>
                <w:lang w:eastAsia="zh-CN"/>
              </w:rPr>
              <w:t>方式、</w:t>
            </w:r>
            <w:r>
              <w:rPr>
                <w:rFonts w:hint="eastAsia"/>
                <w:sz w:val="21"/>
                <w:lang w:eastAsia="zh-CN"/>
              </w:rPr>
              <w:t>滥用</w:t>
            </w:r>
            <w:r>
              <w:rPr>
                <w:sz w:val="21"/>
                <w:lang w:eastAsia="zh-CN"/>
              </w:rPr>
              <w:t>次数、</w:t>
            </w:r>
            <w:r>
              <w:rPr>
                <w:rFonts w:hint="eastAsia"/>
                <w:sz w:val="21"/>
                <w:lang w:eastAsia="zh-CN"/>
              </w:rPr>
              <w:t>用量等信息明显错位、混填，数据完全失效，得0分。</w:t>
            </w:r>
          </w:p>
          <w:p w14:paraId="5138DE38">
            <w:pPr>
              <w:spacing w:after="0"/>
              <w:jc w:val="both"/>
              <w:rPr>
                <w:rFonts w:hint="eastAsia"/>
                <w:sz w:val="21"/>
                <w:lang w:eastAsia="zh-CN"/>
              </w:rPr>
            </w:pPr>
            <w:r>
              <w:rPr>
                <w:rFonts w:hint="eastAsia"/>
                <w:sz w:val="21"/>
                <w:lang w:eastAsia="zh-CN"/>
              </w:rPr>
              <w:t>②1行药物的对应信息存在1项错位或混填，其余行对应准确，得1分。</w:t>
            </w:r>
          </w:p>
          <w:p w14:paraId="46D329B8">
            <w:pPr>
              <w:spacing w:after="0"/>
              <w:jc w:val="both"/>
              <w:rPr>
                <w:rFonts w:hint="eastAsia"/>
                <w:sz w:val="21"/>
                <w:lang w:eastAsia="zh-CN"/>
              </w:rPr>
            </w:pPr>
            <w:r>
              <w:rPr>
                <w:rFonts w:hint="eastAsia"/>
                <w:sz w:val="21"/>
                <w:lang w:eastAsia="zh-CN"/>
              </w:rPr>
              <w:t>③行内信息基本对应，仅填写位置偏移但可明确判断对应关系，无歧义，得1.5分。</w:t>
            </w:r>
          </w:p>
          <w:p w14:paraId="6E07BB08">
            <w:pPr>
              <w:spacing w:after="0"/>
              <w:jc w:val="both"/>
              <w:rPr>
                <w:rFonts w:hint="eastAsia"/>
                <w:lang w:eastAsia="zh-CN"/>
              </w:rPr>
            </w:pPr>
            <w:r>
              <w:rPr>
                <w:rFonts w:hint="eastAsia"/>
                <w:sz w:val="21"/>
                <w:lang w:eastAsia="zh-CN"/>
              </w:rPr>
              <w:t>④同一药物行内各项信息一一对应，无错位、混填，得 2分。</w:t>
            </w:r>
          </w:p>
        </w:tc>
        <w:tc>
          <w:tcPr>
            <w:tcW w:w="1134" w:type="dxa"/>
            <w:vAlign w:val="center"/>
          </w:tcPr>
          <w:p w14:paraId="4DD872AE">
            <w:pPr>
              <w:spacing w:after="0"/>
              <w:jc w:val="both"/>
              <w:rPr>
                <w:rFonts w:hint="eastAsia"/>
              </w:rPr>
            </w:pPr>
            <w:r>
              <w:rPr>
                <w:sz w:val="21"/>
              </w:rPr>
              <w:t>2分</w:t>
            </w:r>
          </w:p>
        </w:tc>
      </w:tr>
      <w:tr w14:paraId="21DB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48E3D0EA">
            <w:pPr>
              <w:spacing w:after="0"/>
              <w:jc w:val="both"/>
              <w:rPr>
                <w:rFonts w:hint="eastAsia"/>
              </w:rPr>
            </w:pPr>
            <w:r>
              <w:rPr>
                <w:sz w:val="21"/>
              </w:rPr>
              <w:t>注射行为逻辑一致</w:t>
            </w:r>
          </w:p>
        </w:tc>
        <w:tc>
          <w:tcPr>
            <w:tcW w:w="5443" w:type="dxa"/>
            <w:vAlign w:val="center"/>
          </w:tcPr>
          <w:p w14:paraId="716FA111">
            <w:pPr>
              <w:spacing w:after="0"/>
              <w:jc w:val="both"/>
              <w:rPr>
                <w:rFonts w:hint="eastAsia"/>
                <w:sz w:val="21"/>
                <w:lang w:eastAsia="zh-CN"/>
              </w:rPr>
            </w:pPr>
            <w:r>
              <w:rPr>
                <w:sz w:val="21"/>
                <w:lang w:eastAsia="zh-CN"/>
              </w:rPr>
              <w:t>如主要使用方式涉及静脉、肌内、皮下或动脉注射，应填写是否与他人共用注射器；如未涉及注射，则该项不应出现明显矛盾</w:t>
            </w:r>
            <w:r>
              <w:rPr>
                <w:rFonts w:hint="eastAsia"/>
                <w:sz w:val="21"/>
                <w:lang w:eastAsia="zh-CN"/>
              </w:rPr>
              <w:t>。</w:t>
            </w:r>
          </w:p>
          <w:p w14:paraId="01045624">
            <w:pPr>
              <w:spacing w:after="0"/>
              <w:jc w:val="both"/>
              <w:rPr>
                <w:rFonts w:hint="eastAsia"/>
                <w:sz w:val="21"/>
                <w:lang w:eastAsia="zh-CN"/>
              </w:rPr>
            </w:pPr>
            <w:r>
              <w:rPr>
                <w:rFonts w:hint="eastAsia"/>
                <w:sz w:val="21"/>
                <w:lang w:eastAsia="zh-CN"/>
              </w:rPr>
              <w:t>①主要使用方式明确包含静脉、肌内、皮下或动脉注射类途径，但“是否与他人共用注射器”完全空白；或未选择注射方式，却填写了共用注射器相关内容，明显矛盾，得0分。</w:t>
            </w:r>
          </w:p>
          <w:p w14:paraId="0B8F503E">
            <w:pPr>
              <w:spacing w:after="0"/>
              <w:jc w:val="both"/>
              <w:rPr>
                <w:rFonts w:hint="eastAsia"/>
                <w:sz w:val="21"/>
                <w:lang w:eastAsia="zh-CN"/>
              </w:rPr>
            </w:pPr>
            <w:r>
              <w:rPr>
                <w:rFonts w:hint="eastAsia"/>
                <w:sz w:val="21"/>
                <w:lang w:eastAsia="zh-CN"/>
              </w:rPr>
              <w:t>②注射方式勾选不清晰，共用注射器选项填写存疑；或多种使用方式中包含注射，仅部分注射场景对应填写，得0.5分。</w:t>
            </w:r>
          </w:p>
          <w:p w14:paraId="394C0970">
            <w:pPr>
              <w:spacing w:after="0"/>
              <w:jc w:val="both"/>
              <w:rPr>
                <w:rFonts w:hint="eastAsia"/>
                <w:sz w:val="21"/>
                <w:lang w:eastAsia="zh-CN"/>
              </w:rPr>
            </w:pPr>
            <w:r>
              <w:rPr>
                <w:rFonts w:hint="eastAsia"/>
                <w:sz w:val="21"/>
                <w:lang w:eastAsia="zh-CN"/>
              </w:rPr>
              <w:t>③注射方式与共用注射器填写逻辑自洽，但表述不规范（如口语化表述替代标准选项），得0.8分。</w:t>
            </w:r>
          </w:p>
          <w:p w14:paraId="79295994">
            <w:pPr>
              <w:spacing w:after="0"/>
              <w:jc w:val="both"/>
              <w:rPr>
                <w:rFonts w:hint="eastAsia"/>
                <w:lang w:eastAsia="zh-CN"/>
              </w:rPr>
            </w:pPr>
            <w:r>
              <w:rPr>
                <w:rFonts w:hint="eastAsia"/>
                <w:sz w:val="21"/>
                <w:lang w:eastAsia="zh-CN"/>
              </w:rPr>
              <w:t>④注射方式与共用注射器填写逻辑完全一致；未使用注射方式时该项无矛盾内容，得1分。</w:t>
            </w:r>
          </w:p>
        </w:tc>
        <w:tc>
          <w:tcPr>
            <w:tcW w:w="1134" w:type="dxa"/>
            <w:vAlign w:val="center"/>
          </w:tcPr>
          <w:p w14:paraId="3DCB61DC">
            <w:pPr>
              <w:spacing w:after="0"/>
              <w:jc w:val="both"/>
              <w:rPr>
                <w:rFonts w:hint="eastAsia"/>
              </w:rPr>
            </w:pPr>
            <w:r>
              <w:rPr>
                <w:rFonts w:hint="eastAsia"/>
                <w:sz w:val="21"/>
                <w:lang w:eastAsia="zh-CN"/>
              </w:rPr>
              <w:t>1</w:t>
            </w:r>
            <w:r>
              <w:rPr>
                <w:sz w:val="21"/>
              </w:rPr>
              <w:t>分</w:t>
            </w:r>
          </w:p>
        </w:tc>
      </w:tr>
      <w:tr w14:paraId="147A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6873CEA">
            <w:pPr>
              <w:spacing w:after="0"/>
              <w:jc w:val="both"/>
              <w:rPr>
                <w:rFonts w:hint="eastAsia"/>
                <w:lang w:eastAsia="zh-CN"/>
              </w:rPr>
            </w:pPr>
            <w:r>
              <w:rPr>
                <w:sz w:val="21"/>
                <w:lang w:eastAsia="zh-CN"/>
              </w:rPr>
              <w:t>阳性检测结果填写一致</w:t>
            </w:r>
          </w:p>
        </w:tc>
        <w:tc>
          <w:tcPr>
            <w:tcW w:w="5443" w:type="dxa"/>
            <w:vAlign w:val="center"/>
          </w:tcPr>
          <w:p w14:paraId="2D2EDB29">
            <w:pPr>
              <w:spacing w:after="0"/>
              <w:jc w:val="both"/>
              <w:rPr>
                <w:rFonts w:hint="eastAsia"/>
                <w:sz w:val="21"/>
                <w:lang w:eastAsia="zh-CN"/>
              </w:rPr>
            </w:pPr>
            <w:r>
              <w:rPr>
                <w:sz w:val="21"/>
                <w:lang w:eastAsia="zh-CN"/>
              </w:rPr>
              <w:t>如尿液或体液检测结果为阳性，应填写具体检出药物种类</w:t>
            </w:r>
            <w:r>
              <w:rPr>
                <w:rFonts w:hint="eastAsia"/>
                <w:sz w:val="21"/>
                <w:lang w:eastAsia="zh-CN"/>
              </w:rPr>
              <w:t>。</w:t>
            </w:r>
          </w:p>
          <w:p w14:paraId="711E2EE6">
            <w:pPr>
              <w:spacing w:after="0"/>
              <w:jc w:val="both"/>
              <w:rPr>
                <w:rFonts w:hint="eastAsia"/>
                <w:sz w:val="21"/>
                <w:lang w:eastAsia="zh-CN"/>
              </w:rPr>
            </w:pPr>
            <w:r>
              <w:rPr>
                <w:rFonts w:hint="eastAsia"/>
                <w:sz w:val="21"/>
                <w:lang w:eastAsia="zh-CN"/>
              </w:rPr>
              <w:t>①尿液或体液检测结果明确为阳性，但完全未填写检出药物种类；或检测结果为阴性，却填写了阳性检出药物，明显矛盾，得0分。</w:t>
            </w:r>
          </w:p>
          <w:p w14:paraId="6022371F">
            <w:pPr>
              <w:spacing w:after="0"/>
              <w:jc w:val="both"/>
              <w:rPr>
                <w:rFonts w:hint="eastAsia"/>
                <w:sz w:val="21"/>
                <w:lang w:eastAsia="zh-CN"/>
              </w:rPr>
            </w:pPr>
            <w:r>
              <w:rPr>
                <w:rFonts w:hint="eastAsia"/>
                <w:sz w:val="21"/>
                <w:lang w:eastAsia="zh-CN"/>
              </w:rPr>
              <w:t>②检测结果为阳性，仅填写药物类别未填写具体药物；或检出药物与自述滥用药物完全无关联且无说明，得 0.5分。</w:t>
            </w:r>
          </w:p>
          <w:p w14:paraId="56D789CE">
            <w:pPr>
              <w:spacing w:after="0"/>
              <w:jc w:val="both"/>
              <w:rPr>
                <w:rFonts w:hint="eastAsia"/>
                <w:sz w:val="21"/>
                <w:lang w:eastAsia="zh-CN"/>
              </w:rPr>
            </w:pPr>
            <w:r>
              <w:rPr>
                <w:rFonts w:hint="eastAsia"/>
                <w:sz w:val="21"/>
                <w:lang w:eastAsia="zh-CN"/>
              </w:rPr>
              <w:t>③检出药物名称存在简写、错别字，但可识别对应药物，得0.8分。</w:t>
            </w:r>
          </w:p>
          <w:p w14:paraId="23CA7363">
            <w:pPr>
              <w:spacing w:after="0"/>
              <w:jc w:val="both"/>
              <w:rPr>
                <w:rFonts w:hint="eastAsia"/>
                <w:lang w:eastAsia="zh-CN"/>
              </w:rPr>
            </w:pPr>
            <w:r>
              <w:rPr>
                <w:rFonts w:hint="eastAsia"/>
                <w:sz w:val="21"/>
                <w:lang w:eastAsia="zh-CN"/>
              </w:rPr>
              <w:t>④阳性检测结果对应填写了明确的检出药物种类，信息一致，得1分。</w:t>
            </w:r>
          </w:p>
        </w:tc>
        <w:tc>
          <w:tcPr>
            <w:tcW w:w="1134" w:type="dxa"/>
            <w:vAlign w:val="center"/>
          </w:tcPr>
          <w:p w14:paraId="6AA60282">
            <w:pPr>
              <w:spacing w:after="0"/>
              <w:jc w:val="both"/>
              <w:rPr>
                <w:rFonts w:hint="eastAsia"/>
              </w:rPr>
            </w:pPr>
            <w:r>
              <w:rPr>
                <w:sz w:val="21"/>
              </w:rPr>
              <w:t>1分</w:t>
            </w:r>
          </w:p>
        </w:tc>
      </w:tr>
      <w:tr w14:paraId="3762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A953863">
            <w:pPr>
              <w:spacing w:after="0"/>
              <w:jc w:val="both"/>
              <w:rPr>
                <w:rFonts w:hint="eastAsia"/>
                <w:lang w:eastAsia="zh-CN"/>
              </w:rPr>
            </w:pPr>
            <w:r>
              <w:rPr>
                <w:sz w:val="21"/>
                <w:lang w:eastAsia="zh-CN"/>
              </w:rPr>
              <w:t>既往戒毒次数逻辑一致</w:t>
            </w:r>
          </w:p>
        </w:tc>
        <w:tc>
          <w:tcPr>
            <w:tcW w:w="5443" w:type="dxa"/>
            <w:vAlign w:val="center"/>
          </w:tcPr>
          <w:p w14:paraId="07EBC1E9">
            <w:pPr>
              <w:spacing w:after="0"/>
              <w:jc w:val="both"/>
              <w:rPr>
                <w:rFonts w:hint="eastAsia"/>
                <w:sz w:val="21"/>
                <w:lang w:eastAsia="zh-CN"/>
              </w:rPr>
            </w:pPr>
            <w:r>
              <w:rPr>
                <w:sz w:val="21"/>
                <w:lang w:eastAsia="zh-CN"/>
              </w:rPr>
              <w:t>如本次不是第一次戒毒，应填写既往戒毒治疗次数；如填写为第一次戒毒，则既往戒毒次数不应出现矛盾信息</w:t>
            </w:r>
            <w:r>
              <w:rPr>
                <w:rFonts w:hint="eastAsia"/>
                <w:sz w:val="21"/>
                <w:lang w:eastAsia="zh-CN"/>
              </w:rPr>
              <w:t>。</w:t>
            </w:r>
          </w:p>
          <w:p w14:paraId="1B46564D">
            <w:pPr>
              <w:spacing w:after="0"/>
              <w:jc w:val="both"/>
              <w:rPr>
                <w:rFonts w:hint="eastAsia"/>
                <w:sz w:val="21"/>
                <w:lang w:eastAsia="zh-CN"/>
              </w:rPr>
            </w:pPr>
            <w:r>
              <w:rPr>
                <w:rFonts w:hint="eastAsia"/>
                <w:sz w:val="21"/>
                <w:lang w:eastAsia="zh-CN"/>
              </w:rPr>
              <w:t>①明确标注“本次不是第一次戒毒”但既往戒毒治疗次数为0或空白；或标注“第一次戒毒”却填写了既往戒毒次数，明显矛盾，得0分。</w:t>
            </w:r>
          </w:p>
          <w:p w14:paraId="0CC247C8">
            <w:pPr>
              <w:spacing w:after="0"/>
              <w:jc w:val="both"/>
              <w:rPr>
                <w:rFonts w:hint="eastAsia"/>
                <w:sz w:val="21"/>
                <w:lang w:eastAsia="zh-CN"/>
              </w:rPr>
            </w:pPr>
            <w:r>
              <w:rPr>
                <w:rFonts w:hint="eastAsia"/>
                <w:sz w:val="21"/>
                <w:lang w:eastAsia="zh-CN"/>
              </w:rPr>
              <w:t>②既往戒毒次数填写模糊（如“多次”），未明确具体数字；或次数与时间线存在合理性疑问，得0.5分。</w:t>
            </w:r>
          </w:p>
          <w:p w14:paraId="5A60C04A">
            <w:pPr>
              <w:spacing w:after="0"/>
              <w:jc w:val="both"/>
              <w:rPr>
                <w:rFonts w:hint="eastAsia"/>
                <w:lang w:eastAsia="zh-CN"/>
              </w:rPr>
            </w:pPr>
            <w:r>
              <w:rPr>
                <w:rFonts w:hint="eastAsia"/>
                <w:sz w:val="21"/>
                <w:lang w:eastAsia="zh-CN"/>
              </w:rPr>
              <w:t>③戒毒次数与是否首次戒毒表述完全一致，逻辑自洽，得1分。</w:t>
            </w:r>
          </w:p>
        </w:tc>
        <w:tc>
          <w:tcPr>
            <w:tcW w:w="1134" w:type="dxa"/>
            <w:vAlign w:val="center"/>
          </w:tcPr>
          <w:p w14:paraId="7D714081">
            <w:pPr>
              <w:spacing w:after="0"/>
              <w:jc w:val="both"/>
              <w:rPr>
                <w:rFonts w:hint="eastAsia"/>
              </w:rPr>
            </w:pPr>
            <w:r>
              <w:rPr>
                <w:rFonts w:hint="eastAsia"/>
                <w:sz w:val="21"/>
                <w:lang w:eastAsia="zh-CN"/>
              </w:rPr>
              <w:t>1</w:t>
            </w:r>
            <w:r>
              <w:rPr>
                <w:sz w:val="21"/>
              </w:rPr>
              <w:t>分</w:t>
            </w:r>
          </w:p>
        </w:tc>
      </w:tr>
    </w:tbl>
    <w:p w14:paraId="16AA9C8D">
      <w:pPr>
        <w:spacing w:after="0" w:line="360" w:lineRule="auto"/>
        <w:ind w:firstLine="480"/>
        <w:jc w:val="both"/>
        <w:rPr>
          <w:rFonts w:hint="eastAsia"/>
          <w:lang w:eastAsia="zh-CN"/>
        </w:rPr>
      </w:pPr>
      <w:r>
        <w:rPr>
          <w:lang w:eastAsia="zh-CN"/>
        </w:rPr>
        <w:t>说明：对于确属“不适用”的项目，不应简单扣分。例如，未采用注射方式者，“是否共用注射器”可视为不适用；但如果填写内容前后矛盾，则应按规范性问题扣分。</w:t>
      </w:r>
    </w:p>
    <w:p w14:paraId="1838923E">
      <w:pPr>
        <w:spacing w:before="120" w:after="0" w:line="360" w:lineRule="auto"/>
        <w:jc w:val="both"/>
        <w:rPr>
          <w:rFonts w:hint="eastAsia"/>
        </w:rPr>
      </w:pPr>
      <w:r>
        <w:rPr>
          <w:rFonts w:hint="eastAsia"/>
          <w:b/>
          <w:lang w:eastAsia="zh-CN"/>
        </w:rPr>
        <w:t>3、</w:t>
      </w:r>
      <w:r>
        <w:rPr>
          <w:b/>
        </w:rPr>
        <w:t>数据合理性，6分</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5443"/>
        <w:gridCol w:w="1134"/>
      </w:tblGrid>
      <w:tr w14:paraId="21C6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9EAF7"/>
            <w:vAlign w:val="center"/>
          </w:tcPr>
          <w:p w14:paraId="733D8616">
            <w:pPr>
              <w:spacing w:after="0"/>
              <w:jc w:val="both"/>
              <w:rPr>
                <w:rFonts w:hint="eastAsia"/>
              </w:rPr>
            </w:pPr>
            <w:r>
              <w:rPr>
                <w:b/>
                <w:sz w:val="21"/>
              </w:rPr>
              <w:t>评</w:t>
            </w:r>
            <w:r>
              <w:rPr>
                <w:rFonts w:hint="eastAsia"/>
                <w:b/>
                <w:sz w:val="21"/>
                <w:lang w:eastAsia="zh-CN"/>
              </w:rPr>
              <w:t>分</w:t>
            </w:r>
            <w:r>
              <w:rPr>
                <w:b/>
                <w:sz w:val="21"/>
              </w:rPr>
              <w:t>项目</w:t>
            </w:r>
          </w:p>
        </w:tc>
        <w:tc>
          <w:tcPr>
            <w:tcW w:w="5443" w:type="dxa"/>
            <w:shd w:val="clear" w:color="auto" w:fill="D9EAF7"/>
            <w:vAlign w:val="center"/>
          </w:tcPr>
          <w:p w14:paraId="7C024AFE">
            <w:pPr>
              <w:spacing w:after="0"/>
              <w:jc w:val="both"/>
              <w:rPr>
                <w:rFonts w:hint="eastAsia"/>
              </w:rPr>
            </w:pPr>
            <w:r>
              <w:rPr>
                <w:b/>
                <w:sz w:val="21"/>
              </w:rPr>
              <w:t>评分标准</w:t>
            </w:r>
          </w:p>
        </w:tc>
        <w:tc>
          <w:tcPr>
            <w:tcW w:w="1134" w:type="dxa"/>
            <w:shd w:val="clear" w:color="auto" w:fill="D9EAF7"/>
            <w:vAlign w:val="center"/>
          </w:tcPr>
          <w:p w14:paraId="5D289440">
            <w:pPr>
              <w:spacing w:after="0"/>
              <w:jc w:val="both"/>
              <w:rPr>
                <w:rFonts w:hint="eastAsia"/>
              </w:rPr>
            </w:pPr>
            <w:r>
              <w:rPr>
                <w:b/>
                <w:sz w:val="21"/>
              </w:rPr>
              <w:t>分值</w:t>
            </w:r>
          </w:p>
        </w:tc>
      </w:tr>
      <w:tr w14:paraId="35B3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8E56975">
            <w:pPr>
              <w:spacing w:after="0"/>
              <w:jc w:val="both"/>
              <w:rPr>
                <w:rFonts w:hint="eastAsia"/>
              </w:rPr>
            </w:pPr>
            <w:r>
              <w:rPr>
                <w:sz w:val="21"/>
              </w:rPr>
              <w:t>年龄合理</w:t>
            </w:r>
          </w:p>
        </w:tc>
        <w:tc>
          <w:tcPr>
            <w:tcW w:w="5443" w:type="dxa"/>
            <w:vAlign w:val="center"/>
          </w:tcPr>
          <w:p w14:paraId="2442E939">
            <w:pPr>
              <w:spacing w:after="0"/>
              <w:jc w:val="both"/>
              <w:rPr>
                <w:rFonts w:hint="eastAsia"/>
                <w:sz w:val="21"/>
                <w:lang w:eastAsia="zh-CN"/>
              </w:rPr>
            </w:pPr>
            <w:r>
              <w:rPr>
                <w:sz w:val="21"/>
                <w:lang w:eastAsia="zh-CN"/>
              </w:rPr>
              <w:t>根据出生日期和填表日期计算的年龄处于合理范围</w:t>
            </w:r>
            <w:r>
              <w:rPr>
                <w:rFonts w:hint="eastAsia"/>
                <w:sz w:val="21"/>
                <w:lang w:eastAsia="zh-CN"/>
              </w:rPr>
              <w:t>。</w:t>
            </w:r>
          </w:p>
          <w:p w14:paraId="0E7AF442">
            <w:pPr>
              <w:spacing w:after="0"/>
              <w:jc w:val="both"/>
              <w:rPr>
                <w:rFonts w:hint="eastAsia"/>
                <w:sz w:val="21"/>
                <w:lang w:eastAsia="zh-CN"/>
              </w:rPr>
            </w:pPr>
            <w:r>
              <w:rPr>
                <w:rFonts w:hint="eastAsia"/>
                <w:sz w:val="21"/>
                <w:lang w:eastAsia="zh-CN"/>
              </w:rPr>
              <w:t>①根据出生日期和填表日期计算的年龄小于 6 周岁或大于等于65周岁，明显超出监测合理范围；或出生日期空白无法计算年龄，得0分。</w:t>
            </w:r>
          </w:p>
          <w:p w14:paraId="45BA91BC">
            <w:pPr>
              <w:spacing w:after="0"/>
              <w:jc w:val="both"/>
              <w:rPr>
                <w:rFonts w:hint="eastAsia"/>
                <w:sz w:val="21"/>
                <w:lang w:eastAsia="zh-CN"/>
              </w:rPr>
            </w:pPr>
            <w:r>
              <w:rPr>
                <w:rFonts w:hint="eastAsia"/>
                <w:sz w:val="21"/>
                <w:lang w:eastAsia="zh-CN"/>
              </w:rPr>
              <w:t>②年龄处于临界范围（14 岁以下、60-64 岁），结合药物种类存在合理性存疑，但无明确错误证据，得1分。</w:t>
            </w:r>
          </w:p>
          <w:p w14:paraId="6782CCAC">
            <w:pPr>
              <w:spacing w:after="0"/>
              <w:jc w:val="both"/>
              <w:rPr>
                <w:rFonts w:hint="eastAsia"/>
                <w:sz w:val="21"/>
                <w:lang w:eastAsia="zh-CN"/>
              </w:rPr>
            </w:pPr>
            <w:r>
              <w:rPr>
                <w:rFonts w:hint="eastAsia"/>
                <w:sz w:val="21"/>
                <w:lang w:eastAsia="zh-CN"/>
              </w:rPr>
              <w:t>③因日期精度导致年龄计算存在1岁以内误差，整体处于合理区间，得1.5分。</w:t>
            </w:r>
          </w:p>
          <w:p w14:paraId="14E73C0D">
            <w:pPr>
              <w:spacing w:after="0"/>
              <w:jc w:val="both"/>
              <w:rPr>
                <w:rFonts w:hint="eastAsia"/>
                <w:lang w:eastAsia="zh-CN"/>
              </w:rPr>
            </w:pPr>
            <w:r>
              <w:rPr>
                <w:rFonts w:hint="eastAsia"/>
                <w:sz w:val="21"/>
                <w:lang w:eastAsia="zh-CN"/>
              </w:rPr>
              <w:t>④计算年龄处于6-65周岁合理范围，无异常，得2分。</w:t>
            </w:r>
          </w:p>
        </w:tc>
        <w:tc>
          <w:tcPr>
            <w:tcW w:w="1134" w:type="dxa"/>
            <w:vAlign w:val="center"/>
          </w:tcPr>
          <w:p w14:paraId="58867972">
            <w:pPr>
              <w:spacing w:after="0"/>
              <w:jc w:val="both"/>
              <w:rPr>
                <w:rFonts w:hint="eastAsia"/>
              </w:rPr>
            </w:pPr>
            <w:r>
              <w:rPr>
                <w:sz w:val="21"/>
              </w:rPr>
              <w:t>2分</w:t>
            </w:r>
          </w:p>
        </w:tc>
      </w:tr>
      <w:tr w14:paraId="04B7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4E54984">
            <w:pPr>
              <w:spacing w:after="0"/>
              <w:jc w:val="both"/>
              <w:rPr>
                <w:rFonts w:hint="eastAsia"/>
              </w:rPr>
            </w:pPr>
            <w:r>
              <w:rPr>
                <w:sz w:val="21"/>
              </w:rPr>
              <w:t>用量及单位合理</w:t>
            </w:r>
          </w:p>
        </w:tc>
        <w:tc>
          <w:tcPr>
            <w:tcW w:w="5443" w:type="dxa"/>
            <w:vAlign w:val="center"/>
          </w:tcPr>
          <w:p w14:paraId="4B456E34">
            <w:pPr>
              <w:spacing w:after="0"/>
              <w:jc w:val="both"/>
              <w:rPr>
                <w:rFonts w:hint="eastAsia"/>
                <w:sz w:val="21"/>
                <w:lang w:eastAsia="zh-CN"/>
              </w:rPr>
            </w:pPr>
            <w:r>
              <w:rPr>
                <w:sz w:val="21"/>
                <w:lang w:eastAsia="zh-CN"/>
              </w:rPr>
              <w:t>通常每次用量与药物种类、单位基本匹配，无明显荒谬值</w:t>
            </w:r>
            <w:r>
              <w:rPr>
                <w:rFonts w:hint="eastAsia"/>
                <w:sz w:val="21"/>
                <w:lang w:eastAsia="zh-CN"/>
              </w:rPr>
              <w:t>。</w:t>
            </w:r>
          </w:p>
          <w:p w14:paraId="4CC9C1CC">
            <w:pPr>
              <w:spacing w:after="0"/>
              <w:jc w:val="both"/>
              <w:rPr>
                <w:rFonts w:hint="eastAsia"/>
                <w:sz w:val="21"/>
                <w:lang w:eastAsia="zh-CN"/>
              </w:rPr>
            </w:pPr>
            <w:r>
              <w:rPr>
                <w:rFonts w:hint="eastAsia"/>
                <w:sz w:val="21"/>
                <w:lang w:eastAsia="zh-CN"/>
              </w:rPr>
              <w:t>①用量数值明显荒谬，与药物类型完全不符；或单位与药物完全不匹配；或用量、单位完全空白，得0分。</w:t>
            </w:r>
          </w:p>
          <w:p w14:paraId="19B2716A">
            <w:pPr>
              <w:spacing w:after="0"/>
              <w:jc w:val="both"/>
              <w:rPr>
                <w:rFonts w:hint="eastAsia"/>
                <w:sz w:val="21"/>
                <w:lang w:eastAsia="zh-CN"/>
              </w:rPr>
            </w:pPr>
            <w:r>
              <w:rPr>
                <w:rFonts w:hint="eastAsia"/>
                <w:sz w:val="21"/>
                <w:lang w:eastAsia="zh-CN"/>
              </w:rPr>
              <w:t>②用量数值超出常规使用范围2倍以上且无合理解释；或单位填写不规范，需人工核实，得1分。</w:t>
            </w:r>
          </w:p>
          <w:p w14:paraId="0DA7200E">
            <w:pPr>
              <w:spacing w:after="0"/>
              <w:jc w:val="both"/>
              <w:rPr>
                <w:rFonts w:hint="eastAsia"/>
                <w:sz w:val="21"/>
                <w:lang w:eastAsia="zh-CN"/>
              </w:rPr>
            </w:pPr>
            <w:r>
              <w:rPr>
                <w:rFonts w:hint="eastAsia"/>
                <w:sz w:val="21"/>
                <w:lang w:eastAsia="zh-CN"/>
              </w:rPr>
              <w:t>③用量略高于或低于常规范围，处于合理波动区间；或单位表述口语化但可明确换算，得1.5分。</w:t>
            </w:r>
          </w:p>
          <w:p w14:paraId="68D26B57">
            <w:pPr>
              <w:spacing w:after="0"/>
              <w:jc w:val="both"/>
              <w:rPr>
                <w:rFonts w:hint="eastAsia"/>
                <w:lang w:eastAsia="zh-CN"/>
              </w:rPr>
            </w:pPr>
            <w:r>
              <w:rPr>
                <w:rFonts w:hint="eastAsia"/>
                <w:sz w:val="21"/>
                <w:lang w:eastAsia="zh-CN"/>
              </w:rPr>
              <w:t>④每次用量与药物种类、单位基本匹配，数值处于常规合理范围，得2分。</w:t>
            </w:r>
          </w:p>
        </w:tc>
        <w:tc>
          <w:tcPr>
            <w:tcW w:w="1134" w:type="dxa"/>
            <w:vAlign w:val="center"/>
          </w:tcPr>
          <w:p w14:paraId="161CE321">
            <w:pPr>
              <w:spacing w:after="0"/>
              <w:jc w:val="both"/>
              <w:rPr>
                <w:rFonts w:hint="eastAsia"/>
              </w:rPr>
            </w:pPr>
            <w:r>
              <w:rPr>
                <w:sz w:val="21"/>
              </w:rPr>
              <w:t>2分</w:t>
            </w:r>
          </w:p>
        </w:tc>
      </w:tr>
      <w:tr w14:paraId="046D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10226D2">
            <w:pPr>
              <w:spacing w:after="0"/>
              <w:jc w:val="both"/>
              <w:rPr>
                <w:rFonts w:hint="eastAsia"/>
              </w:rPr>
            </w:pPr>
            <w:r>
              <w:rPr>
                <w:sz w:val="21"/>
              </w:rPr>
              <w:t>滥用频率合理</w:t>
            </w:r>
          </w:p>
        </w:tc>
        <w:tc>
          <w:tcPr>
            <w:tcW w:w="5443" w:type="dxa"/>
            <w:vAlign w:val="center"/>
          </w:tcPr>
          <w:p w14:paraId="12E057E2">
            <w:pPr>
              <w:spacing w:after="0"/>
              <w:jc w:val="both"/>
              <w:rPr>
                <w:rFonts w:hint="eastAsia"/>
                <w:sz w:val="21"/>
                <w:lang w:eastAsia="zh-CN"/>
              </w:rPr>
            </w:pPr>
            <w:r>
              <w:rPr>
                <w:sz w:val="21"/>
                <w:lang w:eastAsia="zh-CN"/>
              </w:rPr>
              <w:t>滥用频率与计算时间单位之间不存在明显矛盾。电子系统如出现“年”等非报告表推荐单位，应标记为需核实项目；只有影响频率解释或明显不符合题目要求时扣分</w:t>
            </w:r>
            <w:r>
              <w:rPr>
                <w:rFonts w:hint="eastAsia"/>
                <w:sz w:val="21"/>
                <w:lang w:eastAsia="zh-CN"/>
              </w:rPr>
              <w:t>。</w:t>
            </w:r>
          </w:p>
          <w:p w14:paraId="72634C51">
            <w:pPr>
              <w:spacing w:after="0"/>
              <w:jc w:val="both"/>
              <w:rPr>
                <w:rFonts w:hint="eastAsia"/>
                <w:sz w:val="21"/>
                <w:lang w:eastAsia="zh-CN"/>
              </w:rPr>
            </w:pPr>
            <w:r>
              <w:rPr>
                <w:rFonts w:hint="eastAsia"/>
                <w:sz w:val="21"/>
                <w:lang w:eastAsia="zh-CN"/>
              </w:rPr>
              <w:t>①滥用频率与时间单位明显矛盾（如“每天100次”）；或频率、单位完全空白无法判断，得0分。</w:t>
            </w:r>
          </w:p>
          <w:p w14:paraId="276E8F33">
            <w:pPr>
              <w:spacing w:after="0"/>
              <w:jc w:val="both"/>
              <w:rPr>
                <w:rFonts w:hint="eastAsia"/>
                <w:sz w:val="21"/>
                <w:lang w:eastAsia="zh-CN"/>
              </w:rPr>
            </w:pPr>
            <w:r>
              <w:rPr>
                <w:rFonts w:hint="eastAsia"/>
                <w:sz w:val="21"/>
                <w:lang w:eastAsia="zh-CN"/>
              </w:rPr>
              <w:t>②频率单位为非报告表推荐单位（如“年”），且表述模糊无法换算；或频率数值明显偏离常规水平，得0.5分。</w:t>
            </w:r>
          </w:p>
          <w:p w14:paraId="51C64F17">
            <w:pPr>
              <w:spacing w:after="0"/>
              <w:jc w:val="both"/>
              <w:rPr>
                <w:rFonts w:hint="eastAsia"/>
                <w:sz w:val="21"/>
                <w:lang w:eastAsia="zh-CN"/>
              </w:rPr>
            </w:pPr>
            <w:r>
              <w:rPr>
                <w:rFonts w:hint="eastAsia"/>
                <w:sz w:val="21"/>
                <w:lang w:eastAsia="zh-CN"/>
              </w:rPr>
              <w:t>③频率单位表述不标准但可换算，数值处于合理范围，得0.8分。</w:t>
            </w:r>
          </w:p>
          <w:p w14:paraId="76163C03">
            <w:pPr>
              <w:spacing w:after="0"/>
              <w:jc w:val="both"/>
              <w:rPr>
                <w:rFonts w:hint="eastAsia"/>
                <w:sz w:val="21"/>
                <w:lang w:eastAsia="zh-CN"/>
              </w:rPr>
            </w:pPr>
            <w:r>
              <w:rPr>
                <w:rFonts w:hint="eastAsia"/>
                <w:sz w:val="21"/>
                <w:lang w:eastAsia="zh-CN"/>
              </w:rPr>
              <w:t>④滥用频率与计算时间单位匹配，数值合理，符合报告表填写规范，得 1 分。</w:t>
            </w:r>
          </w:p>
        </w:tc>
        <w:tc>
          <w:tcPr>
            <w:tcW w:w="1134" w:type="dxa"/>
            <w:vAlign w:val="center"/>
          </w:tcPr>
          <w:p w14:paraId="47183378">
            <w:pPr>
              <w:spacing w:after="0"/>
              <w:jc w:val="both"/>
              <w:rPr>
                <w:rFonts w:hint="eastAsia"/>
              </w:rPr>
            </w:pPr>
            <w:r>
              <w:rPr>
                <w:sz w:val="21"/>
              </w:rPr>
              <w:t>1分</w:t>
            </w:r>
          </w:p>
        </w:tc>
      </w:tr>
      <w:tr w14:paraId="7302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CBF96C3">
            <w:pPr>
              <w:spacing w:after="0"/>
              <w:jc w:val="both"/>
              <w:rPr>
                <w:rFonts w:hint="eastAsia"/>
              </w:rPr>
            </w:pPr>
            <w:r>
              <w:rPr>
                <w:sz w:val="21"/>
              </w:rPr>
              <w:t>花费金额合理</w:t>
            </w:r>
          </w:p>
        </w:tc>
        <w:tc>
          <w:tcPr>
            <w:tcW w:w="5443" w:type="dxa"/>
            <w:vAlign w:val="center"/>
          </w:tcPr>
          <w:p w14:paraId="7D94500D">
            <w:pPr>
              <w:spacing w:after="0"/>
              <w:jc w:val="both"/>
              <w:rPr>
                <w:rFonts w:hint="eastAsia"/>
                <w:sz w:val="21"/>
                <w:lang w:eastAsia="zh-CN"/>
              </w:rPr>
            </w:pPr>
            <w:r>
              <w:rPr>
                <w:sz w:val="21"/>
                <w:lang w:eastAsia="zh-CN"/>
              </w:rPr>
              <w:t>通常每次花费与药物及使用情况基本相符，无明显异常值</w:t>
            </w:r>
            <w:r>
              <w:rPr>
                <w:rFonts w:hint="eastAsia"/>
                <w:sz w:val="21"/>
                <w:lang w:eastAsia="zh-CN"/>
              </w:rPr>
              <w:t>。</w:t>
            </w:r>
          </w:p>
          <w:p w14:paraId="3F696851">
            <w:pPr>
              <w:spacing w:after="0"/>
              <w:jc w:val="both"/>
              <w:rPr>
                <w:rFonts w:hint="eastAsia"/>
                <w:sz w:val="21"/>
                <w:lang w:eastAsia="zh-CN"/>
              </w:rPr>
            </w:pPr>
            <w:r>
              <w:rPr>
                <w:rFonts w:hint="eastAsia"/>
                <w:sz w:val="21"/>
                <w:lang w:eastAsia="zh-CN"/>
              </w:rPr>
              <w:t>①花费金额明显异常，与药物用量、市场价格完全不符；或花费金额完全空白，得0分。</w:t>
            </w:r>
          </w:p>
          <w:p w14:paraId="1E0A5C89">
            <w:pPr>
              <w:spacing w:after="0"/>
              <w:jc w:val="both"/>
              <w:rPr>
                <w:rFonts w:hint="eastAsia"/>
                <w:sz w:val="21"/>
                <w:lang w:eastAsia="zh-CN"/>
              </w:rPr>
            </w:pPr>
            <w:r>
              <w:rPr>
                <w:rFonts w:hint="eastAsia"/>
                <w:sz w:val="21"/>
                <w:lang w:eastAsia="zh-CN"/>
              </w:rPr>
              <w:t>②花费金额超出常规价格 2 倍以上且无合理解释；或金额单位未明确（仅填数字），得0.5分。</w:t>
            </w:r>
          </w:p>
          <w:p w14:paraId="4806C2DB">
            <w:pPr>
              <w:spacing w:after="0"/>
              <w:jc w:val="both"/>
              <w:rPr>
                <w:rFonts w:hint="eastAsia"/>
                <w:sz w:val="21"/>
                <w:lang w:eastAsia="zh-CN"/>
              </w:rPr>
            </w:pPr>
            <w:r>
              <w:rPr>
                <w:rFonts w:hint="eastAsia"/>
                <w:sz w:val="21"/>
                <w:lang w:eastAsia="zh-CN"/>
              </w:rPr>
              <w:t>③花费金额略高于或低于常规水平，处于合理波动范围；或金额存在小数点误差但整体合理，得0.8分。</w:t>
            </w:r>
          </w:p>
          <w:p w14:paraId="183D4DA0">
            <w:pPr>
              <w:spacing w:after="0"/>
              <w:jc w:val="both"/>
              <w:rPr>
                <w:rFonts w:hint="eastAsia"/>
                <w:lang w:eastAsia="zh-CN"/>
              </w:rPr>
            </w:pPr>
            <w:r>
              <w:rPr>
                <w:rFonts w:hint="eastAsia"/>
                <w:sz w:val="21"/>
                <w:lang w:eastAsia="zh-CN"/>
              </w:rPr>
              <w:t>④通常每次花费与药物及使用情况基本相符，无明显异常值，得1分。</w:t>
            </w:r>
          </w:p>
        </w:tc>
        <w:tc>
          <w:tcPr>
            <w:tcW w:w="1134" w:type="dxa"/>
            <w:vAlign w:val="center"/>
          </w:tcPr>
          <w:p w14:paraId="5C7F890A">
            <w:pPr>
              <w:spacing w:after="0"/>
              <w:jc w:val="both"/>
              <w:rPr>
                <w:rFonts w:hint="eastAsia"/>
              </w:rPr>
            </w:pPr>
            <w:r>
              <w:rPr>
                <w:sz w:val="21"/>
              </w:rPr>
              <w:t>1分</w:t>
            </w:r>
          </w:p>
        </w:tc>
      </w:tr>
    </w:tbl>
    <w:p w14:paraId="13F803CB">
      <w:pPr>
        <w:spacing w:after="0" w:line="360" w:lineRule="auto"/>
        <w:ind w:firstLine="480"/>
        <w:jc w:val="both"/>
        <w:rPr>
          <w:rFonts w:hint="eastAsia"/>
          <w:lang w:eastAsia="zh-CN"/>
        </w:rPr>
      </w:pPr>
      <w:r>
        <w:rPr>
          <w:lang w:eastAsia="zh-CN"/>
        </w:rPr>
        <w:t>说明：</w:t>
      </w:r>
    </w:p>
    <w:p w14:paraId="152D755B">
      <w:pPr>
        <w:spacing w:after="0" w:line="360" w:lineRule="auto"/>
        <w:ind w:firstLine="480"/>
        <w:jc w:val="both"/>
        <w:rPr>
          <w:rFonts w:hint="eastAsia"/>
          <w:lang w:eastAsia="zh-CN"/>
        </w:rPr>
      </w:pPr>
      <w:r>
        <w:rPr>
          <w:rFonts w:hint="eastAsia"/>
          <w:lang w:eastAsia="zh-CN"/>
        </w:rPr>
        <w:t>1.同一处错误同时触发多个不同评分子项时，按其中分值最高项予以扣分，不重复累加扣分。</w:t>
      </w:r>
    </w:p>
    <w:p w14:paraId="2D8E3209">
      <w:pPr>
        <w:spacing w:after="0" w:line="360" w:lineRule="auto"/>
        <w:ind w:firstLine="480"/>
        <w:jc w:val="both"/>
        <w:rPr>
          <w:rFonts w:hint="eastAsia"/>
          <w:lang w:eastAsia="zh-CN"/>
        </w:rPr>
      </w:pPr>
      <w:r>
        <w:rPr>
          <w:rFonts w:hint="eastAsia"/>
          <w:lang w:eastAsia="zh-CN"/>
        </w:rPr>
        <w:t>2. 同一评分子项内存在多处同类错误的，按错误最严重档次扣一次分，不按错误数量叠加扣分；同一大类下所有子项合计扣分，不得超过该大类设定的总分。</w:t>
      </w:r>
    </w:p>
    <w:p w14:paraId="6F4CD339">
      <w:pPr>
        <w:spacing w:before="120" w:after="0" w:line="360" w:lineRule="auto"/>
        <w:jc w:val="both"/>
        <w:rPr>
          <w:rFonts w:hint="eastAsia"/>
          <w:szCs w:val="24"/>
          <w:lang w:eastAsia="zh-CN"/>
        </w:rPr>
      </w:pPr>
      <w:r>
        <w:rPr>
          <w:rFonts w:hint="eastAsia"/>
          <w:b/>
          <w:szCs w:val="24"/>
          <w:lang w:eastAsia="zh-CN"/>
        </w:rPr>
        <w:t>（三）</w:t>
      </w:r>
      <w:r>
        <w:rPr>
          <w:b/>
          <w:szCs w:val="24"/>
          <w:lang w:eastAsia="zh-CN"/>
        </w:rPr>
        <w:t>及时性评分标准，15分</w:t>
      </w:r>
    </w:p>
    <w:p w14:paraId="43560885">
      <w:pPr>
        <w:spacing w:after="0" w:line="360" w:lineRule="auto"/>
        <w:ind w:firstLine="480"/>
        <w:jc w:val="both"/>
        <w:rPr>
          <w:rFonts w:hint="eastAsia"/>
          <w:lang w:eastAsia="zh-CN"/>
        </w:rPr>
      </w:pPr>
      <w:r>
        <w:rPr>
          <w:lang w:eastAsia="zh-CN"/>
        </w:rPr>
        <w:t>及时性评估报告表从填表日期到电子上报系统提交时间的时间间隔。填表日期为报告表中记录的监测调查日期，提交时间以电子上报系统记录的提交时间为准。</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6"/>
        <w:gridCol w:w="1701"/>
      </w:tblGrid>
      <w:tr w14:paraId="197C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6" w:type="dxa"/>
            <w:shd w:val="clear" w:color="auto" w:fill="D9EAF7"/>
            <w:vAlign w:val="center"/>
          </w:tcPr>
          <w:p w14:paraId="057287CD">
            <w:pPr>
              <w:spacing w:after="0"/>
              <w:jc w:val="both"/>
              <w:rPr>
                <w:rFonts w:hint="eastAsia"/>
              </w:rPr>
            </w:pPr>
            <w:r>
              <w:rPr>
                <w:b/>
                <w:sz w:val="21"/>
              </w:rPr>
              <w:t>时间间隔</w:t>
            </w:r>
          </w:p>
        </w:tc>
        <w:tc>
          <w:tcPr>
            <w:tcW w:w="1701" w:type="dxa"/>
            <w:shd w:val="clear" w:color="auto" w:fill="D9EAF7"/>
            <w:vAlign w:val="center"/>
          </w:tcPr>
          <w:p w14:paraId="130747FB">
            <w:pPr>
              <w:spacing w:after="0"/>
              <w:jc w:val="both"/>
              <w:rPr>
                <w:rFonts w:hint="eastAsia"/>
              </w:rPr>
            </w:pPr>
            <w:r>
              <w:rPr>
                <w:b/>
                <w:sz w:val="21"/>
              </w:rPr>
              <w:t>分值</w:t>
            </w:r>
          </w:p>
        </w:tc>
      </w:tr>
      <w:tr w14:paraId="51A6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6" w:type="dxa"/>
            <w:vAlign w:val="center"/>
          </w:tcPr>
          <w:p w14:paraId="71ADF5D3">
            <w:pPr>
              <w:spacing w:after="0"/>
              <w:jc w:val="both"/>
              <w:rPr>
                <w:rFonts w:hint="eastAsia"/>
                <w:lang w:eastAsia="zh-CN"/>
              </w:rPr>
            </w:pPr>
            <w:r>
              <w:rPr>
                <w:sz w:val="21"/>
                <w:lang w:eastAsia="zh-CN"/>
              </w:rPr>
              <w:t>填表日期至系统提交时间≤</w:t>
            </w:r>
            <w:r>
              <w:rPr>
                <w:rFonts w:hint="eastAsia"/>
                <w:sz w:val="21"/>
                <w:lang w:eastAsia="zh-CN"/>
              </w:rPr>
              <w:t>30</w:t>
            </w:r>
            <w:r>
              <w:rPr>
                <w:sz w:val="21"/>
                <w:lang w:eastAsia="zh-CN"/>
              </w:rPr>
              <w:t>天</w:t>
            </w:r>
          </w:p>
        </w:tc>
        <w:tc>
          <w:tcPr>
            <w:tcW w:w="1701" w:type="dxa"/>
            <w:vAlign w:val="center"/>
          </w:tcPr>
          <w:p w14:paraId="11592133">
            <w:pPr>
              <w:spacing w:after="0"/>
              <w:jc w:val="both"/>
              <w:rPr>
                <w:rFonts w:hint="eastAsia"/>
              </w:rPr>
            </w:pPr>
            <w:r>
              <w:rPr>
                <w:sz w:val="21"/>
              </w:rPr>
              <w:t>15分</w:t>
            </w:r>
          </w:p>
        </w:tc>
      </w:tr>
      <w:tr w14:paraId="27E1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6" w:type="dxa"/>
            <w:vAlign w:val="center"/>
          </w:tcPr>
          <w:p w14:paraId="2E3B9272">
            <w:pPr>
              <w:spacing w:after="0"/>
              <w:jc w:val="both"/>
              <w:rPr>
                <w:rFonts w:hint="eastAsia"/>
              </w:rPr>
            </w:pPr>
            <w:r>
              <w:rPr>
                <w:rFonts w:hint="eastAsia"/>
                <w:sz w:val="21"/>
                <w:lang w:eastAsia="zh-CN"/>
              </w:rPr>
              <w:t>30-45</w:t>
            </w:r>
            <w:r>
              <w:rPr>
                <w:sz w:val="21"/>
              </w:rPr>
              <w:t>天</w:t>
            </w:r>
          </w:p>
        </w:tc>
        <w:tc>
          <w:tcPr>
            <w:tcW w:w="1701" w:type="dxa"/>
            <w:vAlign w:val="center"/>
          </w:tcPr>
          <w:p w14:paraId="2EAD9C8B">
            <w:pPr>
              <w:spacing w:after="0"/>
              <w:jc w:val="both"/>
              <w:rPr>
                <w:rFonts w:hint="eastAsia"/>
              </w:rPr>
            </w:pPr>
            <w:r>
              <w:rPr>
                <w:sz w:val="21"/>
              </w:rPr>
              <w:t>10分</w:t>
            </w:r>
          </w:p>
        </w:tc>
      </w:tr>
      <w:tr w14:paraId="74FA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6" w:type="dxa"/>
            <w:vAlign w:val="center"/>
          </w:tcPr>
          <w:p w14:paraId="339BF87F">
            <w:pPr>
              <w:spacing w:after="0"/>
              <w:jc w:val="both"/>
              <w:rPr>
                <w:rFonts w:hint="eastAsia"/>
              </w:rPr>
            </w:pPr>
            <w:r>
              <w:rPr>
                <w:rFonts w:hint="eastAsia"/>
                <w:sz w:val="21"/>
                <w:lang w:eastAsia="zh-CN"/>
              </w:rPr>
              <w:t>45-60</w:t>
            </w:r>
            <w:r>
              <w:rPr>
                <w:sz w:val="21"/>
              </w:rPr>
              <w:t>天，含</w:t>
            </w:r>
            <w:r>
              <w:rPr>
                <w:rFonts w:hint="eastAsia"/>
                <w:sz w:val="21"/>
                <w:lang w:eastAsia="zh-CN"/>
              </w:rPr>
              <w:t>60</w:t>
            </w:r>
            <w:r>
              <w:rPr>
                <w:sz w:val="21"/>
              </w:rPr>
              <w:t>天</w:t>
            </w:r>
          </w:p>
        </w:tc>
        <w:tc>
          <w:tcPr>
            <w:tcW w:w="1701" w:type="dxa"/>
            <w:vAlign w:val="center"/>
          </w:tcPr>
          <w:p w14:paraId="648FBEA2">
            <w:pPr>
              <w:spacing w:after="0"/>
              <w:jc w:val="both"/>
              <w:rPr>
                <w:rFonts w:hint="eastAsia"/>
              </w:rPr>
            </w:pPr>
            <w:r>
              <w:rPr>
                <w:sz w:val="21"/>
              </w:rPr>
              <w:t>5分</w:t>
            </w:r>
          </w:p>
        </w:tc>
      </w:tr>
      <w:tr w14:paraId="0675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86" w:type="dxa"/>
            <w:vAlign w:val="center"/>
          </w:tcPr>
          <w:p w14:paraId="0EDE7E1B">
            <w:pPr>
              <w:spacing w:after="0"/>
              <w:jc w:val="both"/>
              <w:rPr>
                <w:rFonts w:hint="eastAsia"/>
              </w:rPr>
            </w:pPr>
            <w:r>
              <w:rPr>
                <w:sz w:val="21"/>
              </w:rPr>
              <w:t>超过</w:t>
            </w:r>
            <w:r>
              <w:rPr>
                <w:rFonts w:hint="eastAsia"/>
                <w:sz w:val="21"/>
                <w:lang w:eastAsia="zh-CN"/>
              </w:rPr>
              <w:t>60</w:t>
            </w:r>
            <w:r>
              <w:rPr>
                <w:sz w:val="21"/>
              </w:rPr>
              <w:t>天</w:t>
            </w:r>
          </w:p>
        </w:tc>
        <w:tc>
          <w:tcPr>
            <w:tcW w:w="1701" w:type="dxa"/>
            <w:vAlign w:val="center"/>
          </w:tcPr>
          <w:p w14:paraId="035BC4F8">
            <w:pPr>
              <w:spacing w:after="0"/>
              <w:jc w:val="both"/>
              <w:rPr>
                <w:rFonts w:hint="eastAsia"/>
              </w:rPr>
            </w:pPr>
            <w:r>
              <w:rPr>
                <w:sz w:val="21"/>
              </w:rPr>
              <w:t>0分</w:t>
            </w:r>
          </w:p>
        </w:tc>
      </w:tr>
    </w:tbl>
    <w:p w14:paraId="55D6482B">
      <w:pPr>
        <w:spacing w:after="0" w:line="360" w:lineRule="auto"/>
        <w:ind w:firstLine="480"/>
        <w:jc w:val="both"/>
        <w:rPr>
          <w:rFonts w:hint="eastAsia"/>
          <w:lang w:eastAsia="zh-CN"/>
        </w:rPr>
      </w:pPr>
      <w:r>
        <w:rPr>
          <w:lang w:eastAsia="zh-CN"/>
        </w:rPr>
        <w:t>说明：如湖北省药品(医疗器械)不良反应监测中心或国家药物滥用监测系统已有明确上报时限要求，应优先按照现行管理要求调整本项分值区间。若导出数据暂无法获得上报时间戳，则不建议根据单份纸质表格强行计算及时性，可先将及时性作为报告单位或地区层面的质量管理指标另行评</w:t>
      </w:r>
      <w:r>
        <w:rPr>
          <w:rFonts w:hint="eastAsia"/>
          <w:lang w:eastAsia="zh-CN"/>
        </w:rPr>
        <w:t>估</w:t>
      </w:r>
      <w:r>
        <w:rPr>
          <w:lang w:eastAsia="zh-CN"/>
        </w:rPr>
        <w:t>。</w:t>
      </w:r>
    </w:p>
    <w:p w14:paraId="46C8EFC7">
      <w:pPr>
        <w:spacing w:before="120" w:after="0" w:line="360" w:lineRule="auto"/>
        <w:jc w:val="both"/>
        <w:rPr>
          <w:rFonts w:hint="eastAsia"/>
          <w:szCs w:val="24"/>
          <w:lang w:eastAsia="zh-CN"/>
        </w:rPr>
      </w:pPr>
      <w:r>
        <w:rPr>
          <w:rFonts w:hint="eastAsia"/>
          <w:b/>
          <w:szCs w:val="24"/>
          <w:lang w:eastAsia="zh-CN"/>
        </w:rPr>
        <w:t>（四）</w:t>
      </w:r>
      <w:r>
        <w:rPr>
          <w:b/>
          <w:szCs w:val="24"/>
          <w:lang w:eastAsia="zh-CN"/>
        </w:rPr>
        <w:t>公共卫生价值评分标准，20分</w:t>
      </w:r>
    </w:p>
    <w:p w14:paraId="7020D07E">
      <w:pPr>
        <w:spacing w:after="0" w:line="360" w:lineRule="auto"/>
        <w:ind w:firstLine="480"/>
        <w:jc w:val="both"/>
        <w:rPr>
          <w:rFonts w:hint="eastAsia"/>
          <w:lang w:eastAsia="zh-CN"/>
        </w:rPr>
      </w:pPr>
      <w:r>
        <w:rPr>
          <w:lang w:eastAsia="zh-CN"/>
        </w:rPr>
        <w:t>公共卫生价值主要评估报告表是否提供了对风险识别、趋势判断、重点人群识别和公共卫生干预具有较高价值的信息。本维度采用加分制，根据报告信息价值累加得分，最高20分。</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5443"/>
        <w:gridCol w:w="1134"/>
      </w:tblGrid>
      <w:tr w14:paraId="2C43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9EAF7"/>
            <w:vAlign w:val="center"/>
          </w:tcPr>
          <w:p w14:paraId="315FCB09">
            <w:pPr>
              <w:spacing w:after="0"/>
              <w:jc w:val="both"/>
              <w:rPr>
                <w:rFonts w:hint="eastAsia"/>
              </w:rPr>
            </w:pPr>
            <w:r>
              <w:rPr>
                <w:b/>
                <w:sz w:val="21"/>
              </w:rPr>
              <w:t>评</w:t>
            </w:r>
            <w:r>
              <w:rPr>
                <w:rFonts w:hint="eastAsia"/>
                <w:b/>
                <w:sz w:val="21"/>
                <w:lang w:eastAsia="zh-CN"/>
              </w:rPr>
              <w:t>分</w:t>
            </w:r>
            <w:r>
              <w:rPr>
                <w:b/>
                <w:sz w:val="21"/>
              </w:rPr>
              <w:t>项目</w:t>
            </w:r>
          </w:p>
        </w:tc>
        <w:tc>
          <w:tcPr>
            <w:tcW w:w="5443" w:type="dxa"/>
            <w:shd w:val="clear" w:color="auto" w:fill="D9EAF7"/>
            <w:vAlign w:val="center"/>
          </w:tcPr>
          <w:p w14:paraId="4DBC54BE">
            <w:pPr>
              <w:spacing w:after="0"/>
              <w:jc w:val="both"/>
              <w:rPr>
                <w:rFonts w:hint="eastAsia"/>
              </w:rPr>
            </w:pPr>
            <w:r>
              <w:rPr>
                <w:b/>
                <w:sz w:val="21"/>
              </w:rPr>
              <w:t>评分标准</w:t>
            </w:r>
          </w:p>
        </w:tc>
        <w:tc>
          <w:tcPr>
            <w:tcW w:w="1134" w:type="dxa"/>
            <w:shd w:val="clear" w:color="auto" w:fill="D9EAF7"/>
            <w:vAlign w:val="center"/>
          </w:tcPr>
          <w:p w14:paraId="7E411D8A">
            <w:pPr>
              <w:spacing w:after="0"/>
              <w:jc w:val="both"/>
              <w:rPr>
                <w:rFonts w:hint="eastAsia"/>
              </w:rPr>
            </w:pPr>
            <w:r>
              <w:rPr>
                <w:b/>
                <w:sz w:val="21"/>
              </w:rPr>
              <w:t>分值</w:t>
            </w:r>
          </w:p>
        </w:tc>
      </w:tr>
      <w:tr w14:paraId="0688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11A7DC92">
            <w:pPr>
              <w:spacing w:after="0"/>
              <w:jc w:val="both"/>
              <w:rPr>
                <w:rFonts w:hint="eastAsia"/>
                <w:lang w:eastAsia="zh-CN"/>
              </w:rPr>
            </w:pPr>
            <w:r>
              <w:rPr>
                <w:sz w:val="21"/>
                <w:lang w:eastAsia="zh-CN"/>
              </w:rPr>
              <w:t>报告新发、罕见或值得关注的滥用物质</w:t>
            </w:r>
          </w:p>
        </w:tc>
        <w:tc>
          <w:tcPr>
            <w:tcW w:w="5443" w:type="dxa"/>
            <w:vAlign w:val="center"/>
          </w:tcPr>
          <w:p w14:paraId="42FFC275">
            <w:pPr>
              <w:spacing w:after="0"/>
              <w:jc w:val="both"/>
              <w:rPr>
                <w:rFonts w:hint="eastAsia"/>
                <w:lang w:eastAsia="zh-CN"/>
              </w:rPr>
            </w:pPr>
            <w:r>
              <w:rPr>
                <w:sz w:val="21"/>
                <w:lang w:eastAsia="zh-CN"/>
              </w:rPr>
              <w:t>报告新型精神活性物质、非传统滥用药物、本地区少见</w:t>
            </w:r>
            <w:r>
              <w:rPr>
                <w:rFonts w:hint="eastAsia"/>
                <w:sz w:val="21"/>
                <w:lang w:eastAsia="zh-CN"/>
              </w:rPr>
              <w:t>或新发现</w:t>
            </w:r>
            <w:r>
              <w:rPr>
                <w:sz w:val="21"/>
                <w:lang w:eastAsia="zh-CN"/>
              </w:rPr>
              <w:t>滥用物质，且药物名称明确</w:t>
            </w:r>
          </w:p>
        </w:tc>
        <w:tc>
          <w:tcPr>
            <w:tcW w:w="1134" w:type="dxa"/>
            <w:vAlign w:val="center"/>
          </w:tcPr>
          <w:p w14:paraId="3C8EDDD0">
            <w:pPr>
              <w:spacing w:after="0"/>
              <w:jc w:val="both"/>
              <w:rPr>
                <w:rFonts w:hint="eastAsia"/>
              </w:rPr>
            </w:pPr>
            <w:r>
              <w:rPr>
                <w:rFonts w:hint="eastAsia"/>
                <w:sz w:val="21"/>
                <w:lang w:val="en-US" w:eastAsia="zh-CN"/>
              </w:rPr>
              <w:t>10</w:t>
            </w:r>
            <w:r>
              <w:rPr>
                <w:sz w:val="21"/>
              </w:rPr>
              <w:t>分</w:t>
            </w:r>
          </w:p>
        </w:tc>
      </w:tr>
      <w:tr w14:paraId="742F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2FC8A64">
            <w:pPr>
              <w:spacing w:after="0"/>
              <w:jc w:val="both"/>
              <w:rPr>
                <w:rFonts w:hint="eastAsia"/>
                <w:lang w:eastAsia="zh-CN"/>
              </w:rPr>
            </w:pPr>
            <w:r>
              <w:rPr>
                <w:sz w:val="21"/>
                <w:lang w:eastAsia="zh-CN"/>
              </w:rPr>
              <w:t>详细描述多药滥用模式</w:t>
            </w:r>
          </w:p>
        </w:tc>
        <w:tc>
          <w:tcPr>
            <w:tcW w:w="5443" w:type="dxa"/>
            <w:vAlign w:val="center"/>
          </w:tcPr>
          <w:p w14:paraId="69EA8D37">
            <w:pPr>
              <w:spacing w:after="0"/>
              <w:jc w:val="both"/>
              <w:rPr>
                <w:rFonts w:hint="eastAsia"/>
                <w:lang w:eastAsia="zh-CN"/>
              </w:rPr>
            </w:pPr>
            <w:r>
              <w:rPr>
                <w:sz w:val="21"/>
                <w:lang w:eastAsia="zh-CN"/>
              </w:rPr>
              <w:t>完整填写两种及以上主要滥用药物，并包括获得途径、使用方式、频率、用量等关键信息</w:t>
            </w:r>
          </w:p>
        </w:tc>
        <w:tc>
          <w:tcPr>
            <w:tcW w:w="1134" w:type="dxa"/>
            <w:vAlign w:val="center"/>
          </w:tcPr>
          <w:p w14:paraId="1A7BF2AE">
            <w:pPr>
              <w:spacing w:after="0"/>
              <w:jc w:val="both"/>
              <w:rPr>
                <w:rFonts w:hint="eastAsia"/>
              </w:rPr>
            </w:pPr>
            <w:r>
              <w:rPr>
                <w:rFonts w:hint="eastAsia"/>
                <w:sz w:val="21"/>
                <w:lang w:val="en-US" w:eastAsia="zh-CN"/>
              </w:rPr>
              <w:t>2</w:t>
            </w:r>
            <w:r>
              <w:rPr>
                <w:sz w:val="21"/>
              </w:rPr>
              <w:t>分</w:t>
            </w:r>
          </w:p>
        </w:tc>
      </w:tr>
      <w:tr w14:paraId="6E32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915BE34">
            <w:pPr>
              <w:spacing w:after="0"/>
              <w:jc w:val="both"/>
              <w:rPr>
                <w:rFonts w:hint="eastAsia"/>
              </w:rPr>
            </w:pPr>
            <w:r>
              <w:rPr>
                <w:sz w:val="21"/>
              </w:rPr>
              <w:t>报告高风险行为</w:t>
            </w:r>
          </w:p>
        </w:tc>
        <w:tc>
          <w:tcPr>
            <w:tcW w:w="5443" w:type="dxa"/>
            <w:vAlign w:val="center"/>
          </w:tcPr>
          <w:p w14:paraId="670223E4">
            <w:pPr>
              <w:spacing w:after="0"/>
              <w:jc w:val="both"/>
              <w:rPr>
                <w:rFonts w:hint="eastAsia"/>
                <w:lang w:eastAsia="zh-CN"/>
              </w:rPr>
            </w:pPr>
            <w:r>
              <w:rPr>
                <w:sz w:val="21"/>
                <w:lang w:eastAsia="zh-CN"/>
              </w:rPr>
              <w:t>明确报告注射使用、与他人共用注射器或其他传播感染风险较高的行为</w:t>
            </w:r>
          </w:p>
        </w:tc>
        <w:tc>
          <w:tcPr>
            <w:tcW w:w="1134" w:type="dxa"/>
            <w:vAlign w:val="center"/>
          </w:tcPr>
          <w:p w14:paraId="3F9CDB37">
            <w:pPr>
              <w:spacing w:after="0"/>
              <w:jc w:val="both"/>
              <w:rPr>
                <w:rFonts w:hint="eastAsia"/>
              </w:rPr>
            </w:pPr>
            <w:r>
              <w:rPr>
                <w:rFonts w:hint="eastAsia"/>
                <w:sz w:val="21"/>
                <w:lang w:val="en-US" w:eastAsia="zh-CN"/>
              </w:rPr>
              <w:t>2</w:t>
            </w:r>
            <w:r>
              <w:rPr>
                <w:sz w:val="21"/>
              </w:rPr>
              <w:t>分</w:t>
            </w:r>
          </w:p>
        </w:tc>
      </w:tr>
      <w:tr w14:paraId="3C58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1D59A9E">
            <w:pPr>
              <w:spacing w:after="0"/>
              <w:jc w:val="both"/>
              <w:rPr>
                <w:rFonts w:hint="eastAsia"/>
              </w:rPr>
            </w:pPr>
            <w:r>
              <w:rPr>
                <w:sz w:val="21"/>
              </w:rPr>
              <w:t>报告重点人群信息</w:t>
            </w:r>
          </w:p>
        </w:tc>
        <w:tc>
          <w:tcPr>
            <w:tcW w:w="5443" w:type="dxa"/>
            <w:vAlign w:val="center"/>
          </w:tcPr>
          <w:p w14:paraId="109D2AA5">
            <w:pPr>
              <w:spacing w:after="0"/>
              <w:jc w:val="both"/>
              <w:rPr>
                <w:rFonts w:hint="eastAsia"/>
                <w:lang w:eastAsia="zh-CN"/>
              </w:rPr>
            </w:pPr>
            <w:r>
              <w:rPr>
                <w:sz w:val="21"/>
                <w:lang w:eastAsia="zh-CN"/>
              </w:rPr>
              <w:t>从业、场所</w:t>
            </w:r>
            <w:r>
              <w:rPr>
                <w:rFonts w:hint="eastAsia"/>
                <w:sz w:val="21"/>
                <w:lang w:eastAsia="zh-CN"/>
              </w:rPr>
              <w:t>、年龄</w:t>
            </w:r>
            <w:r>
              <w:rPr>
                <w:sz w:val="21"/>
                <w:lang w:eastAsia="zh-CN"/>
              </w:rPr>
              <w:t>或其他信息提示属于当前公共卫生重点关注人群</w:t>
            </w:r>
            <w:r>
              <w:rPr>
                <w:rFonts w:hint="eastAsia"/>
                <w:sz w:val="21"/>
                <w:lang w:eastAsia="zh-CN"/>
              </w:rPr>
              <w:t>，如</w:t>
            </w:r>
            <w:r>
              <w:rPr>
                <w:sz w:val="21"/>
                <w:lang w:eastAsia="zh-CN"/>
              </w:rPr>
              <w:t>出现小于等于6岁或大于等于65岁报告，有核实记录的</w:t>
            </w:r>
          </w:p>
        </w:tc>
        <w:tc>
          <w:tcPr>
            <w:tcW w:w="1134" w:type="dxa"/>
            <w:vAlign w:val="center"/>
          </w:tcPr>
          <w:p w14:paraId="74AC336B">
            <w:pPr>
              <w:spacing w:after="0"/>
              <w:jc w:val="both"/>
              <w:rPr>
                <w:rFonts w:hint="eastAsia"/>
              </w:rPr>
            </w:pPr>
            <w:r>
              <w:rPr>
                <w:sz w:val="21"/>
              </w:rPr>
              <w:t>2分</w:t>
            </w:r>
          </w:p>
        </w:tc>
      </w:tr>
      <w:tr w14:paraId="4BAB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34F7F83">
            <w:pPr>
              <w:spacing w:after="0"/>
              <w:jc w:val="both"/>
              <w:rPr>
                <w:rFonts w:hint="eastAsia"/>
                <w:sz w:val="21"/>
              </w:rPr>
            </w:pPr>
            <w:r>
              <w:rPr>
                <w:rFonts w:hint="eastAsia"/>
                <w:sz w:val="21"/>
                <w:lang w:eastAsia="zh-CN"/>
              </w:rPr>
              <w:t>报告高风险获得途径</w:t>
            </w:r>
          </w:p>
        </w:tc>
        <w:tc>
          <w:tcPr>
            <w:tcW w:w="5443" w:type="dxa"/>
            <w:vAlign w:val="center"/>
          </w:tcPr>
          <w:p w14:paraId="29497813">
            <w:pPr>
              <w:spacing w:after="0"/>
              <w:jc w:val="both"/>
              <w:rPr>
                <w:rFonts w:hint="eastAsia"/>
                <w:sz w:val="21"/>
                <w:lang w:eastAsia="zh-CN"/>
              </w:rPr>
            </w:pPr>
            <w:r>
              <w:rPr>
                <w:sz w:val="21"/>
                <w:lang w:eastAsia="zh-CN"/>
              </w:rPr>
              <w:t>报表涉及医疗用麻精药品通过零售药店、个体诊所、娱乐场所等非法途径获得，且有核实或处理记录的</w:t>
            </w:r>
          </w:p>
        </w:tc>
        <w:tc>
          <w:tcPr>
            <w:tcW w:w="1134" w:type="dxa"/>
            <w:vAlign w:val="center"/>
          </w:tcPr>
          <w:p w14:paraId="0D63E806">
            <w:pPr>
              <w:spacing w:after="0"/>
              <w:jc w:val="both"/>
              <w:rPr>
                <w:rFonts w:hint="eastAsia"/>
                <w:sz w:val="21"/>
                <w:lang w:eastAsia="zh-CN"/>
              </w:rPr>
            </w:pPr>
            <w:r>
              <w:rPr>
                <w:rFonts w:hint="eastAsia"/>
                <w:sz w:val="21"/>
                <w:lang w:eastAsia="zh-CN"/>
              </w:rPr>
              <w:t>2分</w:t>
            </w:r>
          </w:p>
        </w:tc>
      </w:tr>
      <w:tr w14:paraId="043E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A2B041F">
            <w:pPr>
              <w:spacing w:after="0"/>
              <w:jc w:val="both"/>
              <w:rPr>
                <w:rFonts w:hint="eastAsia"/>
                <w:lang w:eastAsia="zh-CN"/>
              </w:rPr>
            </w:pPr>
            <w:r>
              <w:rPr>
                <w:sz w:val="21"/>
                <w:lang w:eastAsia="zh-CN"/>
              </w:rPr>
              <w:t>报告感染或检测阳性相关信息</w:t>
            </w:r>
          </w:p>
        </w:tc>
        <w:tc>
          <w:tcPr>
            <w:tcW w:w="5443" w:type="dxa"/>
            <w:vAlign w:val="center"/>
          </w:tcPr>
          <w:p w14:paraId="38A775EA">
            <w:pPr>
              <w:spacing w:after="0"/>
              <w:jc w:val="both"/>
              <w:rPr>
                <w:rFonts w:hint="eastAsia"/>
                <w:lang w:eastAsia="zh-CN"/>
              </w:rPr>
            </w:pPr>
            <w:r>
              <w:rPr>
                <w:sz w:val="21"/>
                <w:lang w:eastAsia="zh-CN"/>
              </w:rPr>
              <w:t>HIV阳性，或尿液、体液检测提示重要阳性结果</w:t>
            </w:r>
          </w:p>
        </w:tc>
        <w:tc>
          <w:tcPr>
            <w:tcW w:w="1134" w:type="dxa"/>
            <w:vAlign w:val="center"/>
          </w:tcPr>
          <w:p w14:paraId="6F096661">
            <w:pPr>
              <w:spacing w:after="0"/>
              <w:jc w:val="both"/>
              <w:rPr>
                <w:rFonts w:hint="eastAsia"/>
              </w:rPr>
            </w:pPr>
            <w:r>
              <w:rPr>
                <w:rFonts w:hint="eastAsia"/>
                <w:sz w:val="21"/>
                <w:lang w:val="en-US" w:eastAsia="zh-CN"/>
              </w:rPr>
              <w:t>1</w:t>
            </w:r>
            <w:r>
              <w:rPr>
                <w:sz w:val="21"/>
              </w:rPr>
              <w:t>分</w:t>
            </w:r>
          </w:p>
        </w:tc>
      </w:tr>
      <w:tr w14:paraId="2232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6C225D07">
            <w:pPr>
              <w:spacing w:after="0"/>
              <w:jc w:val="both"/>
              <w:rPr>
                <w:rFonts w:hint="eastAsia"/>
                <w:lang w:eastAsia="zh-CN"/>
              </w:rPr>
            </w:pPr>
            <w:r>
              <w:rPr>
                <w:sz w:val="21"/>
                <w:lang w:eastAsia="zh-CN"/>
              </w:rPr>
              <w:t>报告反复戒毒或复发相关信息</w:t>
            </w:r>
          </w:p>
        </w:tc>
        <w:tc>
          <w:tcPr>
            <w:tcW w:w="5443" w:type="dxa"/>
            <w:vAlign w:val="center"/>
          </w:tcPr>
          <w:p w14:paraId="479F9D24">
            <w:pPr>
              <w:spacing w:after="0"/>
              <w:jc w:val="both"/>
              <w:rPr>
                <w:rFonts w:hint="eastAsia"/>
                <w:lang w:eastAsia="zh-CN"/>
              </w:rPr>
            </w:pPr>
            <w:r>
              <w:rPr>
                <w:sz w:val="21"/>
                <w:lang w:eastAsia="zh-CN"/>
              </w:rPr>
              <w:t>本次不是第一次戒毒，并填写既往戒毒治疗次数，提示反复戒毒或复发情况</w:t>
            </w:r>
          </w:p>
        </w:tc>
        <w:tc>
          <w:tcPr>
            <w:tcW w:w="1134" w:type="dxa"/>
            <w:vAlign w:val="center"/>
          </w:tcPr>
          <w:p w14:paraId="3E711249">
            <w:pPr>
              <w:spacing w:after="0"/>
              <w:jc w:val="both"/>
              <w:rPr>
                <w:rFonts w:hint="eastAsia"/>
              </w:rPr>
            </w:pPr>
            <w:r>
              <w:rPr>
                <w:rFonts w:hint="eastAsia"/>
                <w:sz w:val="21"/>
                <w:lang w:val="en-US" w:eastAsia="zh-CN"/>
              </w:rPr>
              <w:t>1</w:t>
            </w:r>
            <w:r>
              <w:rPr>
                <w:sz w:val="21"/>
              </w:rPr>
              <w:t>分</w:t>
            </w:r>
          </w:p>
        </w:tc>
      </w:tr>
    </w:tbl>
    <w:p w14:paraId="724C8BAA">
      <w:pPr>
        <w:spacing w:after="0" w:line="360" w:lineRule="auto"/>
        <w:ind w:firstLine="480"/>
        <w:jc w:val="both"/>
        <w:rPr>
          <w:rFonts w:hint="eastAsia"/>
          <w:lang w:eastAsia="zh-CN"/>
        </w:rPr>
      </w:pPr>
      <w:r>
        <w:rPr>
          <w:lang w:eastAsia="zh-CN"/>
        </w:rPr>
        <w:t>说明：公共卫生价值评分主要用于识别具有较高预警或分析价值的报告，不作为评</w:t>
      </w:r>
      <w:r>
        <w:rPr>
          <w:rFonts w:hint="eastAsia"/>
          <w:lang w:eastAsia="zh-CN"/>
        </w:rPr>
        <w:t>估</w:t>
      </w:r>
      <w:r>
        <w:rPr>
          <w:lang w:eastAsia="zh-CN"/>
        </w:rPr>
        <w:t>普通报告填报质量高低的主要依据。普通报告即使公共卫生价值评分不高，只要完整性、规范性和及时性较好，仍应认定为填报质量较好的常规监测报告。</w:t>
      </w:r>
    </w:p>
    <w:p w14:paraId="59564B20">
      <w:pPr>
        <w:spacing w:before="120" w:after="0" w:line="360" w:lineRule="auto"/>
        <w:jc w:val="both"/>
        <w:rPr>
          <w:rFonts w:hint="eastAsia"/>
          <w:lang w:eastAsia="zh-CN"/>
        </w:rPr>
      </w:pPr>
      <w:r>
        <w:rPr>
          <w:rFonts w:hint="eastAsia"/>
          <w:b/>
          <w:sz w:val="28"/>
          <w:lang w:eastAsia="zh-CN"/>
        </w:rPr>
        <w:t>八</w:t>
      </w:r>
      <w:r>
        <w:rPr>
          <w:b/>
          <w:sz w:val="28"/>
          <w:lang w:eastAsia="zh-CN"/>
        </w:rPr>
        <w:t>、质量等级划分</w:t>
      </w:r>
    </w:p>
    <w:p w14:paraId="23443209">
      <w:pPr>
        <w:spacing w:after="0" w:line="360" w:lineRule="auto"/>
        <w:ind w:firstLine="480"/>
        <w:jc w:val="both"/>
        <w:rPr>
          <w:rFonts w:hint="eastAsia"/>
          <w:lang w:eastAsia="zh-CN"/>
        </w:rPr>
      </w:pPr>
      <w:r>
        <w:rPr>
          <w:lang w:eastAsia="zh-CN"/>
        </w:rPr>
        <w:t>考虑到公共卫生价值评分主要用于识别高价值报告，而不是用于惩罚普通报告，建议以内容质量百分制得分作为报告填报质量等级划分依据。公共卫生价值评分建议单独呈现。例如，可将公共卫生价值评分≥1</w:t>
      </w:r>
      <w:r>
        <w:rPr>
          <w:rFonts w:hint="eastAsia"/>
          <w:lang w:eastAsia="zh-CN"/>
        </w:rPr>
        <w:t>0</w:t>
      </w:r>
      <w:r>
        <w:rPr>
          <w:lang w:eastAsia="zh-CN"/>
        </w:rPr>
        <w:t>分的报告标识为“较高公共卫生价值报告”，用于进一步核查、分析和风险研判。上述阈值可根据不同地区实际样本分布和专家意见进行调整。</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475"/>
        <w:gridCol w:w="2890"/>
        <w:gridCol w:w="3061"/>
      </w:tblGrid>
      <w:tr w14:paraId="6519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D9EAF7"/>
            <w:vAlign w:val="center"/>
          </w:tcPr>
          <w:p w14:paraId="2CBEED90">
            <w:pPr>
              <w:spacing w:after="0"/>
              <w:jc w:val="both"/>
              <w:rPr>
                <w:rFonts w:hint="eastAsia"/>
              </w:rPr>
            </w:pPr>
            <w:r>
              <w:rPr>
                <w:b/>
                <w:sz w:val="21"/>
              </w:rPr>
              <w:t>内容质量百分制得分</w:t>
            </w:r>
          </w:p>
        </w:tc>
        <w:tc>
          <w:tcPr>
            <w:tcW w:w="1475" w:type="dxa"/>
            <w:shd w:val="clear" w:color="auto" w:fill="D9EAF7"/>
            <w:vAlign w:val="center"/>
          </w:tcPr>
          <w:p w14:paraId="398A5C20">
            <w:pPr>
              <w:spacing w:after="0"/>
              <w:jc w:val="both"/>
              <w:rPr>
                <w:rFonts w:hint="eastAsia"/>
              </w:rPr>
            </w:pPr>
            <w:r>
              <w:rPr>
                <w:b/>
                <w:sz w:val="21"/>
              </w:rPr>
              <w:t>质量等级</w:t>
            </w:r>
          </w:p>
        </w:tc>
        <w:tc>
          <w:tcPr>
            <w:tcW w:w="2890" w:type="dxa"/>
            <w:shd w:val="clear" w:color="auto" w:fill="D9EAF7"/>
            <w:vAlign w:val="center"/>
          </w:tcPr>
          <w:p w14:paraId="558CE551">
            <w:pPr>
              <w:spacing w:after="0"/>
              <w:jc w:val="both"/>
              <w:rPr>
                <w:rFonts w:hint="eastAsia"/>
              </w:rPr>
            </w:pPr>
            <w:r>
              <w:rPr>
                <w:b/>
                <w:sz w:val="21"/>
              </w:rPr>
              <w:t>等级含义</w:t>
            </w:r>
          </w:p>
        </w:tc>
        <w:tc>
          <w:tcPr>
            <w:tcW w:w="3061" w:type="dxa"/>
            <w:shd w:val="clear" w:color="auto" w:fill="D9EAF7"/>
            <w:vAlign w:val="center"/>
          </w:tcPr>
          <w:p w14:paraId="61AD98F8">
            <w:pPr>
              <w:spacing w:after="0"/>
              <w:jc w:val="both"/>
              <w:rPr>
                <w:rFonts w:hint="eastAsia"/>
              </w:rPr>
            </w:pPr>
            <w:r>
              <w:rPr>
                <w:b/>
                <w:sz w:val="21"/>
              </w:rPr>
              <w:t>建议处理</w:t>
            </w:r>
          </w:p>
        </w:tc>
      </w:tr>
      <w:tr w14:paraId="4F61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59F4BC9B">
            <w:pPr>
              <w:spacing w:after="0"/>
              <w:jc w:val="both"/>
              <w:rPr>
                <w:rFonts w:hint="eastAsia"/>
              </w:rPr>
            </w:pPr>
            <w:r>
              <w:rPr>
                <w:sz w:val="21"/>
              </w:rPr>
              <w:t>90—100分</w:t>
            </w:r>
          </w:p>
        </w:tc>
        <w:tc>
          <w:tcPr>
            <w:tcW w:w="1475" w:type="dxa"/>
            <w:vAlign w:val="center"/>
          </w:tcPr>
          <w:p w14:paraId="58207152">
            <w:pPr>
              <w:spacing w:after="0"/>
              <w:jc w:val="both"/>
              <w:rPr>
                <w:rFonts w:hint="eastAsia"/>
              </w:rPr>
            </w:pPr>
            <w:r>
              <w:rPr>
                <w:sz w:val="21"/>
              </w:rPr>
              <w:t>A级，优秀</w:t>
            </w:r>
          </w:p>
        </w:tc>
        <w:tc>
          <w:tcPr>
            <w:tcW w:w="2890" w:type="dxa"/>
            <w:vAlign w:val="center"/>
          </w:tcPr>
          <w:p w14:paraId="508F0443">
            <w:pPr>
              <w:spacing w:after="0"/>
              <w:jc w:val="both"/>
              <w:rPr>
                <w:rFonts w:hint="eastAsia"/>
                <w:lang w:eastAsia="zh-CN"/>
              </w:rPr>
            </w:pPr>
            <w:r>
              <w:rPr>
                <w:sz w:val="21"/>
                <w:lang w:eastAsia="zh-CN"/>
              </w:rPr>
              <w:t>信息完整、规范、及时，填报质量高</w:t>
            </w:r>
          </w:p>
        </w:tc>
        <w:tc>
          <w:tcPr>
            <w:tcW w:w="3061" w:type="dxa"/>
            <w:vAlign w:val="center"/>
          </w:tcPr>
          <w:p w14:paraId="01F284F6">
            <w:pPr>
              <w:spacing w:after="0"/>
              <w:jc w:val="both"/>
              <w:rPr>
                <w:rFonts w:hint="eastAsia"/>
                <w:lang w:eastAsia="zh-CN"/>
              </w:rPr>
            </w:pPr>
            <w:r>
              <w:rPr>
                <w:sz w:val="21"/>
                <w:lang w:eastAsia="zh-CN"/>
              </w:rPr>
              <w:t>可直接用于统计分析，并可作为填报示范</w:t>
            </w:r>
          </w:p>
        </w:tc>
      </w:tr>
      <w:tr w14:paraId="6CFD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37DFCF7F">
            <w:pPr>
              <w:spacing w:after="0"/>
              <w:jc w:val="both"/>
              <w:rPr>
                <w:rFonts w:hint="eastAsia"/>
              </w:rPr>
            </w:pPr>
            <w:r>
              <w:rPr>
                <w:sz w:val="21"/>
              </w:rPr>
              <w:t>80—89分</w:t>
            </w:r>
          </w:p>
        </w:tc>
        <w:tc>
          <w:tcPr>
            <w:tcW w:w="1475" w:type="dxa"/>
            <w:vAlign w:val="center"/>
          </w:tcPr>
          <w:p w14:paraId="0E8450B9">
            <w:pPr>
              <w:spacing w:after="0"/>
              <w:jc w:val="both"/>
              <w:rPr>
                <w:rFonts w:hint="eastAsia"/>
              </w:rPr>
            </w:pPr>
            <w:r>
              <w:rPr>
                <w:sz w:val="21"/>
              </w:rPr>
              <w:t>B级，良好</w:t>
            </w:r>
          </w:p>
        </w:tc>
        <w:tc>
          <w:tcPr>
            <w:tcW w:w="2890" w:type="dxa"/>
            <w:vAlign w:val="center"/>
          </w:tcPr>
          <w:p w14:paraId="436777BD">
            <w:pPr>
              <w:spacing w:after="0"/>
              <w:jc w:val="both"/>
              <w:rPr>
                <w:rFonts w:hint="eastAsia"/>
                <w:lang w:eastAsia="zh-CN"/>
              </w:rPr>
            </w:pPr>
            <w:r>
              <w:rPr>
                <w:sz w:val="21"/>
                <w:lang w:eastAsia="zh-CN"/>
              </w:rPr>
              <w:t>关键信息完整，质量可靠，存在少量非关键问题</w:t>
            </w:r>
          </w:p>
        </w:tc>
        <w:tc>
          <w:tcPr>
            <w:tcW w:w="3061" w:type="dxa"/>
            <w:vAlign w:val="center"/>
          </w:tcPr>
          <w:p w14:paraId="59504809">
            <w:pPr>
              <w:spacing w:after="0"/>
              <w:jc w:val="both"/>
              <w:rPr>
                <w:rFonts w:hint="eastAsia"/>
              </w:rPr>
            </w:pPr>
            <w:r>
              <w:rPr>
                <w:sz w:val="21"/>
              </w:rPr>
              <w:t>可纳入常规统计分析</w:t>
            </w:r>
          </w:p>
        </w:tc>
      </w:tr>
      <w:tr w14:paraId="11F4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5824DD4C">
            <w:pPr>
              <w:spacing w:after="0"/>
              <w:jc w:val="both"/>
              <w:rPr>
                <w:rFonts w:hint="eastAsia"/>
              </w:rPr>
            </w:pPr>
            <w:r>
              <w:rPr>
                <w:sz w:val="21"/>
              </w:rPr>
              <w:t>60—79分</w:t>
            </w:r>
          </w:p>
        </w:tc>
        <w:tc>
          <w:tcPr>
            <w:tcW w:w="1475" w:type="dxa"/>
            <w:vAlign w:val="center"/>
          </w:tcPr>
          <w:p w14:paraId="18EBB64D">
            <w:pPr>
              <w:spacing w:after="0"/>
              <w:jc w:val="both"/>
              <w:rPr>
                <w:rFonts w:hint="eastAsia"/>
              </w:rPr>
            </w:pPr>
            <w:r>
              <w:rPr>
                <w:sz w:val="21"/>
              </w:rPr>
              <w:t>C级，合格</w:t>
            </w:r>
          </w:p>
        </w:tc>
        <w:tc>
          <w:tcPr>
            <w:tcW w:w="2890" w:type="dxa"/>
            <w:vAlign w:val="center"/>
          </w:tcPr>
          <w:p w14:paraId="6450CE3A">
            <w:pPr>
              <w:spacing w:after="0"/>
              <w:jc w:val="both"/>
              <w:rPr>
                <w:rFonts w:hint="eastAsia"/>
                <w:lang w:eastAsia="zh-CN"/>
              </w:rPr>
            </w:pPr>
            <w:r>
              <w:rPr>
                <w:sz w:val="21"/>
                <w:lang w:eastAsia="zh-CN"/>
              </w:rPr>
              <w:t>基本信息可用，但存在较明显缺项或规范性问题</w:t>
            </w:r>
          </w:p>
        </w:tc>
        <w:tc>
          <w:tcPr>
            <w:tcW w:w="3061" w:type="dxa"/>
            <w:vAlign w:val="center"/>
          </w:tcPr>
          <w:p w14:paraId="4B7F6E38">
            <w:pPr>
              <w:spacing w:after="0"/>
              <w:jc w:val="both"/>
              <w:rPr>
                <w:rFonts w:hint="eastAsia"/>
                <w:lang w:eastAsia="zh-CN"/>
              </w:rPr>
            </w:pPr>
            <w:r>
              <w:rPr>
                <w:sz w:val="21"/>
                <w:lang w:eastAsia="zh-CN"/>
              </w:rPr>
              <w:t>可用于一般分析，但建议核查补充，并反馈报告单位</w:t>
            </w:r>
          </w:p>
        </w:tc>
      </w:tr>
      <w:tr w14:paraId="65D1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03FD9F13">
            <w:pPr>
              <w:spacing w:after="0"/>
              <w:jc w:val="both"/>
              <w:rPr>
                <w:rFonts w:hint="eastAsia"/>
              </w:rPr>
            </w:pPr>
            <w:r>
              <w:rPr>
                <w:sz w:val="21"/>
              </w:rPr>
              <w:t>低于60分</w:t>
            </w:r>
          </w:p>
        </w:tc>
        <w:tc>
          <w:tcPr>
            <w:tcW w:w="1475" w:type="dxa"/>
            <w:vAlign w:val="center"/>
          </w:tcPr>
          <w:p w14:paraId="60C7BAC3">
            <w:pPr>
              <w:spacing w:after="0"/>
              <w:jc w:val="both"/>
              <w:rPr>
                <w:rFonts w:hint="eastAsia"/>
              </w:rPr>
            </w:pPr>
            <w:r>
              <w:rPr>
                <w:rFonts w:hint="eastAsia"/>
                <w:sz w:val="21"/>
                <w:lang w:eastAsia="zh-CN"/>
              </w:rPr>
              <w:t>D</w:t>
            </w:r>
            <w:r>
              <w:rPr>
                <w:sz w:val="21"/>
              </w:rPr>
              <w:t>级，不合格</w:t>
            </w:r>
          </w:p>
        </w:tc>
        <w:tc>
          <w:tcPr>
            <w:tcW w:w="2890" w:type="dxa"/>
            <w:vAlign w:val="center"/>
          </w:tcPr>
          <w:p w14:paraId="45189511">
            <w:pPr>
              <w:spacing w:after="0"/>
              <w:jc w:val="both"/>
              <w:rPr>
                <w:rFonts w:hint="eastAsia"/>
                <w:lang w:eastAsia="zh-CN"/>
              </w:rPr>
            </w:pPr>
            <w:r>
              <w:rPr>
                <w:sz w:val="21"/>
                <w:lang w:eastAsia="zh-CN"/>
              </w:rPr>
              <w:t>信息缺失较多、逻辑问题明显或分析价值有限</w:t>
            </w:r>
          </w:p>
        </w:tc>
        <w:tc>
          <w:tcPr>
            <w:tcW w:w="3061" w:type="dxa"/>
            <w:vAlign w:val="center"/>
          </w:tcPr>
          <w:p w14:paraId="0E3F586F">
            <w:pPr>
              <w:spacing w:after="0"/>
              <w:jc w:val="both"/>
              <w:rPr>
                <w:rFonts w:hint="eastAsia"/>
                <w:lang w:eastAsia="zh-CN"/>
              </w:rPr>
            </w:pPr>
            <w:r>
              <w:rPr>
                <w:sz w:val="21"/>
                <w:lang w:eastAsia="zh-CN"/>
              </w:rPr>
              <w:t>应作为低质量报告，向报告单位反馈并督促改进</w:t>
            </w:r>
          </w:p>
        </w:tc>
      </w:tr>
      <w:tr w14:paraId="09087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5740ED51">
            <w:pPr>
              <w:spacing w:after="0"/>
              <w:jc w:val="both"/>
              <w:rPr>
                <w:rFonts w:hint="eastAsia"/>
              </w:rPr>
            </w:pPr>
            <w:r>
              <w:rPr>
                <w:sz w:val="21"/>
              </w:rPr>
              <w:t>基础核查不通过</w:t>
            </w:r>
          </w:p>
        </w:tc>
        <w:tc>
          <w:tcPr>
            <w:tcW w:w="1475" w:type="dxa"/>
            <w:vAlign w:val="center"/>
          </w:tcPr>
          <w:p w14:paraId="059ED16C">
            <w:pPr>
              <w:spacing w:after="0"/>
              <w:jc w:val="both"/>
              <w:rPr>
                <w:rFonts w:hint="eastAsia"/>
              </w:rPr>
            </w:pPr>
            <w:r>
              <w:rPr>
                <w:sz w:val="21"/>
              </w:rPr>
              <w:t>无效报告</w:t>
            </w:r>
          </w:p>
        </w:tc>
        <w:tc>
          <w:tcPr>
            <w:tcW w:w="2890" w:type="dxa"/>
            <w:vAlign w:val="center"/>
          </w:tcPr>
          <w:p w14:paraId="0705B00B">
            <w:pPr>
              <w:spacing w:after="0"/>
              <w:jc w:val="both"/>
              <w:rPr>
                <w:rFonts w:hint="eastAsia"/>
                <w:lang w:eastAsia="zh-CN"/>
              </w:rPr>
            </w:pPr>
            <w:r>
              <w:rPr>
                <w:sz w:val="21"/>
                <w:lang w:eastAsia="zh-CN"/>
              </w:rPr>
              <w:t>虚假、重复或不具备最低监测信息</w:t>
            </w:r>
          </w:p>
        </w:tc>
        <w:tc>
          <w:tcPr>
            <w:tcW w:w="3061" w:type="dxa"/>
            <w:vAlign w:val="center"/>
          </w:tcPr>
          <w:p w14:paraId="639D135F">
            <w:pPr>
              <w:spacing w:after="0"/>
              <w:jc w:val="both"/>
              <w:rPr>
                <w:rFonts w:hint="eastAsia"/>
                <w:lang w:eastAsia="zh-CN"/>
              </w:rPr>
            </w:pPr>
            <w:r>
              <w:rPr>
                <w:sz w:val="21"/>
                <w:lang w:eastAsia="zh-CN"/>
              </w:rPr>
              <w:t>不纳入质量评分和常规分析</w:t>
            </w:r>
          </w:p>
        </w:tc>
      </w:tr>
    </w:tbl>
    <w:p w14:paraId="778B2B39">
      <w:pPr>
        <w:spacing w:after="0" w:line="360" w:lineRule="auto"/>
        <w:ind w:firstLine="480"/>
        <w:jc w:val="both"/>
        <w:rPr>
          <w:rFonts w:hint="eastAsia"/>
          <w:lang w:eastAsia="zh-CN"/>
        </w:rPr>
      </w:pPr>
      <w:r>
        <w:rPr>
          <w:rFonts w:hint="eastAsia"/>
          <w:lang w:eastAsia="zh-CN"/>
        </w:rPr>
        <w:t>内容质量评分主要考核填报单位的工作质量，与病例本身的公共卫生属性无关。而综合应用评分在填报质量的基础上，叠加了病例的公共卫生意义，评估目的在于“监测数据有没有预警价值、风险价值、重点关注价值”，面向的是监测数据的使用端和管理端</w:t>
      </w:r>
      <w:r>
        <w:rPr>
          <w:lang w:eastAsia="zh-CN"/>
        </w:rPr>
        <w:t>。综合应用评分可用于</w:t>
      </w:r>
      <w:r>
        <w:rPr>
          <w:rFonts w:hint="eastAsia"/>
          <w:lang w:eastAsia="zh-CN"/>
        </w:rPr>
        <w:t>高价值报告筛选、重点病例分级、核查资源分配等，是监测管理中的核心需求。</w:t>
      </w:r>
    </w:p>
    <w:p w14:paraId="62471C7C">
      <w:pPr>
        <w:spacing w:before="120" w:after="0" w:line="360" w:lineRule="auto"/>
        <w:jc w:val="both"/>
        <w:rPr>
          <w:rFonts w:hint="eastAsia"/>
          <w:lang w:eastAsia="zh-CN"/>
        </w:rPr>
      </w:pPr>
      <w:r>
        <w:rPr>
          <w:rFonts w:hint="eastAsia"/>
          <w:b/>
          <w:sz w:val="28"/>
          <w:lang w:eastAsia="zh-CN"/>
        </w:rPr>
        <w:t>九</w:t>
      </w:r>
      <w:r>
        <w:rPr>
          <w:b/>
          <w:sz w:val="28"/>
          <w:lang w:eastAsia="zh-CN"/>
        </w:rPr>
        <w:t>、评</w:t>
      </w:r>
      <w:r>
        <w:rPr>
          <w:rFonts w:hint="eastAsia"/>
          <w:b/>
          <w:sz w:val="28"/>
          <w:lang w:eastAsia="zh-CN"/>
        </w:rPr>
        <w:t>估</w:t>
      </w:r>
      <w:r>
        <w:rPr>
          <w:b/>
          <w:sz w:val="28"/>
          <w:lang w:eastAsia="zh-CN"/>
        </w:rPr>
        <w:t>结果应用</w:t>
      </w:r>
    </w:p>
    <w:p w14:paraId="5890B595">
      <w:pPr>
        <w:spacing w:before="120" w:after="0" w:line="360" w:lineRule="auto"/>
        <w:jc w:val="both"/>
        <w:rPr>
          <w:rFonts w:hint="eastAsia"/>
          <w:lang w:eastAsia="zh-CN"/>
        </w:rPr>
      </w:pPr>
      <w:r>
        <w:rPr>
          <w:b/>
          <w:lang w:eastAsia="zh-CN"/>
        </w:rPr>
        <w:t>（一）形成单份报告表质量评估结果</w:t>
      </w:r>
    </w:p>
    <w:p w14:paraId="5B1E5761">
      <w:pPr>
        <w:spacing w:after="0" w:line="360" w:lineRule="auto"/>
        <w:ind w:firstLine="480"/>
        <w:jc w:val="both"/>
        <w:rPr>
          <w:rFonts w:hint="eastAsia"/>
          <w:lang w:eastAsia="zh-CN"/>
        </w:rPr>
      </w:pPr>
      <w:r>
        <w:rPr>
          <w:lang w:eastAsia="zh-CN"/>
        </w:rPr>
        <w:t>1. 内容质量评分及内容质量百分制得分；</w:t>
      </w:r>
    </w:p>
    <w:p w14:paraId="36ACBD51">
      <w:pPr>
        <w:spacing w:after="0" w:line="360" w:lineRule="auto"/>
        <w:ind w:firstLine="480"/>
        <w:jc w:val="both"/>
        <w:rPr>
          <w:rFonts w:hint="eastAsia"/>
          <w:lang w:eastAsia="zh-CN"/>
        </w:rPr>
      </w:pPr>
      <w:r>
        <w:rPr>
          <w:lang w:eastAsia="zh-CN"/>
        </w:rPr>
        <w:t>2. 公共卫生价值评分；</w:t>
      </w:r>
    </w:p>
    <w:p w14:paraId="7BBFC5AE">
      <w:pPr>
        <w:spacing w:after="0" w:line="360" w:lineRule="auto"/>
        <w:ind w:firstLine="480"/>
        <w:jc w:val="both"/>
        <w:rPr>
          <w:rFonts w:hint="eastAsia"/>
          <w:lang w:eastAsia="zh-CN"/>
        </w:rPr>
      </w:pPr>
      <w:r>
        <w:rPr>
          <w:lang w:eastAsia="zh-CN"/>
        </w:rPr>
        <w:t>3. 综合应用评分；</w:t>
      </w:r>
    </w:p>
    <w:p w14:paraId="3B1EEBFF">
      <w:pPr>
        <w:spacing w:after="0" w:line="360" w:lineRule="auto"/>
        <w:ind w:firstLine="480"/>
        <w:jc w:val="both"/>
        <w:rPr>
          <w:rFonts w:hint="eastAsia"/>
          <w:lang w:eastAsia="zh-CN"/>
        </w:rPr>
      </w:pPr>
      <w:r>
        <w:rPr>
          <w:lang w:eastAsia="zh-CN"/>
        </w:rPr>
        <w:t>4. 内容质量等级；</w:t>
      </w:r>
    </w:p>
    <w:p w14:paraId="5894F625">
      <w:pPr>
        <w:spacing w:after="0" w:line="360" w:lineRule="auto"/>
        <w:ind w:firstLine="480"/>
        <w:jc w:val="both"/>
        <w:rPr>
          <w:rFonts w:hint="eastAsia"/>
          <w:lang w:eastAsia="zh-CN"/>
        </w:rPr>
      </w:pPr>
      <w:r>
        <w:rPr>
          <w:lang w:eastAsia="zh-CN"/>
        </w:rPr>
        <w:t>5. 完整性、规范性、及时性各维度得分；</w:t>
      </w:r>
    </w:p>
    <w:p w14:paraId="44ADE6BB">
      <w:pPr>
        <w:spacing w:after="0" w:line="360" w:lineRule="auto"/>
        <w:ind w:firstLine="480"/>
        <w:jc w:val="both"/>
        <w:rPr>
          <w:rFonts w:hint="eastAsia"/>
          <w:lang w:eastAsia="zh-CN"/>
        </w:rPr>
      </w:pPr>
      <w:r>
        <w:rPr>
          <w:lang w:eastAsia="zh-CN"/>
        </w:rPr>
        <w:t>6. 主要失分项目；</w:t>
      </w:r>
    </w:p>
    <w:p w14:paraId="73BA5D00">
      <w:pPr>
        <w:spacing w:after="0" w:line="360" w:lineRule="auto"/>
        <w:ind w:firstLine="480"/>
        <w:jc w:val="both"/>
        <w:rPr>
          <w:rFonts w:hint="eastAsia"/>
          <w:lang w:eastAsia="zh-CN"/>
        </w:rPr>
      </w:pPr>
      <w:r>
        <w:rPr>
          <w:lang w:eastAsia="zh-CN"/>
        </w:rPr>
        <w:t>7. 是否存在基础核查不通过情况；</w:t>
      </w:r>
    </w:p>
    <w:p w14:paraId="26D656BC">
      <w:pPr>
        <w:spacing w:after="0" w:line="360" w:lineRule="auto"/>
        <w:ind w:firstLine="480"/>
        <w:jc w:val="both"/>
        <w:rPr>
          <w:rFonts w:hint="eastAsia"/>
          <w:lang w:eastAsia="zh-CN"/>
        </w:rPr>
      </w:pPr>
      <w:r>
        <w:rPr>
          <w:lang w:eastAsia="zh-CN"/>
        </w:rPr>
        <w:t>8. 是否为较高公共卫生价值报告。</w:t>
      </w:r>
    </w:p>
    <w:p w14:paraId="081A37DE">
      <w:pPr>
        <w:spacing w:before="120" w:after="0" w:line="360" w:lineRule="auto"/>
        <w:jc w:val="both"/>
        <w:rPr>
          <w:rFonts w:hint="eastAsia"/>
          <w:lang w:eastAsia="zh-CN"/>
        </w:rPr>
      </w:pPr>
      <w:r>
        <w:rPr>
          <w:b/>
          <w:lang w:eastAsia="zh-CN"/>
        </w:rPr>
        <w:t>（二）形成报告单位质量反馈</w:t>
      </w:r>
    </w:p>
    <w:p w14:paraId="1787B575">
      <w:pPr>
        <w:spacing w:after="0" w:line="360" w:lineRule="auto"/>
        <w:ind w:firstLine="480"/>
        <w:jc w:val="both"/>
        <w:rPr>
          <w:rFonts w:hint="eastAsia"/>
          <w:lang w:eastAsia="zh-CN"/>
        </w:rPr>
      </w:pPr>
      <w:r>
        <w:rPr>
          <w:lang w:eastAsia="zh-CN"/>
        </w:rPr>
        <w:t>1. 抽样报告表数量；</w:t>
      </w:r>
    </w:p>
    <w:p w14:paraId="29D77C82">
      <w:pPr>
        <w:spacing w:after="0" w:line="360" w:lineRule="auto"/>
        <w:ind w:firstLine="480"/>
        <w:jc w:val="both"/>
        <w:rPr>
          <w:rFonts w:hint="eastAsia"/>
          <w:lang w:eastAsia="zh-CN"/>
        </w:rPr>
      </w:pPr>
      <w:r>
        <w:rPr>
          <w:lang w:eastAsia="zh-CN"/>
        </w:rPr>
        <w:t>2. 平均内容质量评分和内容质量等级分布；</w:t>
      </w:r>
    </w:p>
    <w:p w14:paraId="634464ED">
      <w:pPr>
        <w:spacing w:after="0" w:line="360" w:lineRule="auto"/>
        <w:ind w:firstLine="480"/>
        <w:jc w:val="both"/>
        <w:rPr>
          <w:rFonts w:hint="eastAsia"/>
          <w:lang w:eastAsia="zh-CN"/>
        </w:rPr>
      </w:pPr>
      <w:r>
        <w:rPr>
          <w:lang w:eastAsia="zh-CN"/>
        </w:rPr>
        <w:t>3. A级、B级、C级、D级报告占比；</w:t>
      </w:r>
    </w:p>
    <w:p w14:paraId="06945058">
      <w:pPr>
        <w:spacing w:after="0" w:line="360" w:lineRule="auto"/>
        <w:ind w:firstLine="480"/>
        <w:jc w:val="both"/>
        <w:rPr>
          <w:rFonts w:hint="eastAsia"/>
          <w:lang w:eastAsia="zh-CN"/>
        </w:rPr>
      </w:pPr>
      <w:r>
        <w:rPr>
          <w:lang w:eastAsia="zh-CN"/>
        </w:rPr>
        <w:t>4. 无效报告数量及原因；</w:t>
      </w:r>
    </w:p>
    <w:p w14:paraId="10A5413E">
      <w:pPr>
        <w:spacing w:after="0" w:line="360" w:lineRule="auto"/>
        <w:ind w:firstLine="480"/>
        <w:jc w:val="both"/>
        <w:rPr>
          <w:rFonts w:hint="eastAsia"/>
          <w:lang w:eastAsia="zh-CN"/>
        </w:rPr>
      </w:pPr>
      <w:r>
        <w:rPr>
          <w:lang w:eastAsia="zh-CN"/>
        </w:rPr>
        <w:t>5. 完整性、规范性、及时性各维度平均得分；</w:t>
      </w:r>
    </w:p>
    <w:p w14:paraId="32C9558B">
      <w:pPr>
        <w:spacing w:after="0" w:line="360" w:lineRule="auto"/>
        <w:ind w:firstLine="480"/>
        <w:jc w:val="both"/>
        <w:rPr>
          <w:rFonts w:hint="eastAsia"/>
          <w:lang w:eastAsia="zh-CN"/>
        </w:rPr>
      </w:pPr>
      <w:r>
        <w:rPr>
          <w:lang w:eastAsia="zh-CN"/>
        </w:rPr>
        <w:t>6. 公共卫生价值评分分布及高价值报告数量；</w:t>
      </w:r>
    </w:p>
    <w:p w14:paraId="6A42B12D">
      <w:pPr>
        <w:spacing w:after="0" w:line="360" w:lineRule="auto"/>
        <w:ind w:firstLine="480"/>
        <w:jc w:val="both"/>
        <w:rPr>
          <w:rFonts w:hint="eastAsia"/>
          <w:lang w:eastAsia="zh-CN"/>
        </w:rPr>
      </w:pPr>
      <w:r>
        <w:rPr>
          <w:lang w:eastAsia="zh-CN"/>
        </w:rPr>
        <w:t>7. 缺失率最高的字段；</w:t>
      </w:r>
    </w:p>
    <w:p w14:paraId="29956720">
      <w:pPr>
        <w:spacing w:after="0" w:line="360" w:lineRule="auto"/>
        <w:ind w:firstLine="480"/>
        <w:jc w:val="both"/>
        <w:rPr>
          <w:rFonts w:hint="eastAsia"/>
          <w:lang w:eastAsia="zh-CN"/>
        </w:rPr>
      </w:pPr>
      <w:r>
        <w:rPr>
          <w:lang w:eastAsia="zh-CN"/>
        </w:rPr>
        <w:t>8. 最常见的逻辑错误或规范性问题；</w:t>
      </w:r>
    </w:p>
    <w:p w14:paraId="4BEAFF07">
      <w:pPr>
        <w:spacing w:after="0" w:line="360" w:lineRule="auto"/>
        <w:ind w:firstLine="480"/>
        <w:jc w:val="both"/>
        <w:rPr>
          <w:rFonts w:hint="eastAsia"/>
          <w:lang w:eastAsia="zh-CN"/>
        </w:rPr>
      </w:pPr>
      <w:r>
        <w:rPr>
          <w:lang w:eastAsia="zh-CN"/>
        </w:rPr>
        <w:t>9. 下一步改进建议。</w:t>
      </w:r>
    </w:p>
    <w:p w14:paraId="2F36DE9D">
      <w:pPr>
        <w:spacing w:before="120" w:after="0" w:line="360" w:lineRule="auto"/>
        <w:jc w:val="both"/>
        <w:rPr>
          <w:rFonts w:hint="eastAsia"/>
          <w:lang w:eastAsia="zh-CN"/>
        </w:rPr>
      </w:pPr>
      <w:r>
        <w:rPr>
          <w:b/>
          <w:lang w:eastAsia="zh-CN"/>
        </w:rPr>
        <w:t>（三）用于培训和持续改进</w:t>
      </w:r>
    </w:p>
    <w:p w14:paraId="721AA73C">
      <w:pPr>
        <w:spacing w:after="0" w:line="360" w:lineRule="auto"/>
        <w:ind w:firstLine="480"/>
        <w:jc w:val="both"/>
        <w:rPr>
          <w:rFonts w:hint="eastAsia"/>
          <w:lang w:eastAsia="zh-CN"/>
        </w:rPr>
      </w:pPr>
      <w:r>
        <w:rPr>
          <w:lang w:eastAsia="zh-CN"/>
        </w:rPr>
        <w:t>1. 第11(a)题、第13题、第14题等必答题漏填；</w:t>
      </w:r>
    </w:p>
    <w:p w14:paraId="1A453151">
      <w:pPr>
        <w:spacing w:after="0" w:line="360" w:lineRule="auto"/>
        <w:ind w:firstLine="480"/>
        <w:jc w:val="both"/>
        <w:rPr>
          <w:rFonts w:hint="eastAsia"/>
          <w:lang w:eastAsia="zh-CN"/>
        </w:rPr>
      </w:pPr>
      <w:r>
        <w:rPr>
          <w:lang w:eastAsia="zh-CN"/>
        </w:rPr>
        <w:t>2. 第11(b)题联立式调查题同一行信息填写不完整或前后不一致；</w:t>
      </w:r>
    </w:p>
    <w:p w14:paraId="29D410EC">
      <w:pPr>
        <w:spacing w:after="0" w:line="360" w:lineRule="auto"/>
        <w:ind w:firstLine="480"/>
        <w:jc w:val="both"/>
        <w:rPr>
          <w:rFonts w:hint="eastAsia"/>
          <w:lang w:eastAsia="zh-CN"/>
        </w:rPr>
      </w:pPr>
      <w:r>
        <w:rPr>
          <w:lang w:eastAsia="zh-CN"/>
        </w:rPr>
        <w:t>3. 电子导出数据中同一报告表多行记录未正确聚合；</w:t>
      </w:r>
    </w:p>
    <w:p w14:paraId="07BC7D84">
      <w:pPr>
        <w:spacing w:after="0" w:line="360" w:lineRule="auto"/>
        <w:ind w:firstLine="480"/>
        <w:jc w:val="both"/>
        <w:rPr>
          <w:rFonts w:hint="eastAsia"/>
          <w:lang w:eastAsia="zh-CN"/>
        </w:rPr>
      </w:pPr>
      <w:r>
        <w:rPr>
          <w:lang w:eastAsia="zh-CN"/>
        </w:rPr>
        <w:t>4. 主要滥用药物名称填写不清楚、不可识别或不可归类；</w:t>
      </w:r>
    </w:p>
    <w:p w14:paraId="28798659">
      <w:pPr>
        <w:spacing w:after="0" w:line="360" w:lineRule="auto"/>
        <w:ind w:firstLine="480"/>
        <w:jc w:val="both"/>
        <w:rPr>
          <w:rFonts w:hint="eastAsia"/>
          <w:lang w:eastAsia="zh-CN"/>
        </w:rPr>
      </w:pPr>
      <w:r>
        <w:rPr>
          <w:lang w:eastAsia="zh-CN"/>
        </w:rPr>
        <w:t>5. 滥用频率、用量、单位、花费填写不完整；</w:t>
      </w:r>
    </w:p>
    <w:p w14:paraId="5BF56C5D">
      <w:pPr>
        <w:spacing w:after="0" w:line="360" w:lineRule="auto"/>
        <w:ind w:firstLine="480"/>
        <w:jc w:val="both"/>
        <w:rPr>
          <w:rFonts w:hint="eastAsia"/>
          <w:lang w:eastAsia="zh-CN"/>
        </w:rPr>
      </w:pPr>
      <w:r>
        <w:rPr>
          <w:lang w:eastAsia="zh-CN"/>
        </w:rPr>
        <w:t>6. 初次滥用时间、出生日期、填表日期之间存在逻辑错误；</w:t>
      </w:r>
    </w:p>
    <w:p w14:paraId="695A7DFF">
      <w:pPr>
        <w:spacing w:after="0" w:line="360" w:lineRule="auto"/>
        <w:ind w:firstLine="480"/>
        <w:jc w:val="both"/>
        <w:rPr>
          <w:rFonts w:hint="eastAsia"/>
          <w:lang w:eastAsia="zh-CN"/>
        </w:rPr>
      </w:pPr>
      <w:r>
        <w:rPr>
          <w:lang w:eastAsia="zh-CN"/>
        </w:rPr>
        <w:t>7. 首次滥用年龄与填表年龄、初次滥用药物时间之间存在明显不合理关系；</w:t>
      </w:r>
    </w:p>
    <w:p w14:paraId="0678DD53">
      <w:pPr>
        <w:spacing w:after="0" w:line="360" w:lineRule="auto"/>
        <w:ind w:firstLine="480"/>
        <w:jc w:val="both"/>
        <w:rPr>
          <w:rFonts w:hint="eastAsia"/>
          <w:lang w:eastAsia="zh-CN"/>
        </w:rPr>
      </w:pPr>
      <w:r>
        <w:rPr>
          <w:lang w:eastAsia="zh-CN"/>
        </w:rPr>
        <w:t>8. 检测结果阳性但未填写具体检出药物；</w:t>
      </w:r>
    </w:p>
    <w:p w14:paraId="23393408">
      <w:pPr>
        <w:spacing w:after="0" w:line="360" w:lineRule="auto"/>
        <w:ind w:firstLine="480"/>
        <w:jc w:val="both"/>
        <w:rPr>
          <w:rFonts w:hint="eastAsia"/>
          <w:lang w:eastAsia="zh-CN"/>
        </w:rPr>
      </w:pPr>
      <w:r>
        <w:rPr>
          <w:lang w:eastAsia="zh-CN"/>
        </w:rPr>
        <w:t>9. 选择“其他”但未说明具体内容；</w:t>
      </w:r>
    </w:p>
    <w:p w14:paraId="4DAADC97">
      <w:pPr>
        <w:spacing w:after="0" w:line="360" w:lineRule="auto"/>
        <w:ind w:firstLine="480"/>
        <w:jc w:val="both"/>
        <w:rPr>
          <w:rFonts w:hint="eastAsia"/>
          <w:lang w:eastAsia="zh-CN"/>
        </w:rPr>
      </w:pPr>
      <w:r>
        <w:rPr>
          <w:lang w:eastAsia="zh-CN"/>
        </w:rPr>
        <w:t>10. 非第一次戒毒但未填写既往戒毒治疗次数；</w:t>
      </w:r>
    </w:p>
    <w:p w14:paraId="1CCBD408">
      <w:pPr>
        <w:spacing w:after="0" w:line="360" w:lineRule="auto"/>
        <w:ind w:firstLine="480"/>
        <w:jc w:val="both"/>
        <w:rPr>
          <w:rFonts w:hint="eastAsia"/>
          <w:lang w:eastAsia="zh-CN"/>
        </w:rPr>
      </w:pPr>
      <w:r>
        <w:rPr>
          <w:lang w:eastAsia="zh-CN"/>
        </w:rPr>
        <w:t>11. 多药滥用、高风险行为、重点人群等公共卫生价值信息填写不足。</w:t>
      </w:r>
    </w:p>
    <w:p w14:paraId="1DB05319">
      <w:pPr>
        <w:spacing w:before="120" w:after="0" w:line="360" w:lineRule="auto"/>
        <w:jc w:val="both"/>
        <w:rPr>
          <w:rFonts w:hint="eastAsia"/>
          <w:lang w:eastAsia="zh-CN"/>
        </w:rPr>
      </w:pPr>
      <w:r>
        <w:rPr>
          <w:rFonts w:hint="eastAsia"/>
          <w:b/>
          <w:sz w:val="28"/>
          <w:lang w:eastAsia="zh-CN"/>
        </w:rPr>
        <w:t>十</w:t>
      </w:r>
      <w:r>
        <w:rPr>
          <w:b/>
          <w:sz w:val="28"/>
          <w:lang w:eastAsia="zh-CN"/>
        </w:rPr>
        <w:t>、验证与修订建议</w:t>
      </w:r>
    </w:p>
    <w:p w14:paraId="4F278304">
      <w:pPr>
        <w:spacing w:after="0" w:line="360" w:lineRule="auto"/>
        <w:ind w:firstLine="480"/>
        <w:jc w:val="both"/>
        <w:rPr>
          <w:rFonts w:hint="eastAsia"/>
          <w:lang w:eastAsia="zh-CN"/>
        </w:rPr>
      </w:pPr>
      <w:r>
        <w:rPr>
          <w:lang w:eastAsia="zh-CN"/>
        </w:rPr>
        <w:t>本标准已经经过前期样本试评分，并在90</w:t>
      </w:r>
      <w:r>
        <w:rPr>
          <w:rFonts w:hint="eastAsia"/>
          <w:lang w:eastAsia="zh-CN"/>
        </w:rPr>
        <w:t>0</w:t>
      </w:r>
      <w:r>
        <w:rPr>
          <w:lang w:eastAsia="zh-CN"/>
        </w:rPr>
        <w:t>份药物滥用监测报告表数据中进行了初步验证。验证结果提示，本标准总体具有较好的可操作性，能够识别报告表完整性、规范性、及时性和公共卫生价值方面的主要差异。</w:t>
      </w:r>
    </w:p>
    <w:p w14:paraId="0C3C7CC5">
      <w:pPr>
        <w:spacing w:after="0" w:line="360" w:lineRule="auto"/>
        <w:ind w:firstLine="480"/>
        <w:jc w:val="both"/>
        <w:rPr>
          <w:rFonts w:hint="eastAsia"/>
          <w:lang w:eastAsia="zh-CN"/>
        </w:rPr>
      </w:pPr>
      <w:r>
        <w:rPr>
          <w:lang w:eastAsia="zh-CN"/>
        </w:rPr>
        <w:t>验证过程中发现，电子系统导出数据可能存在一份报告表对应多行记录的情况，因此必须在评分前明确评分单元并进行数据聚合。</w:t>
      </w:r>
    </w:p>
    <w:p w14:paraId="3307AB58">
      <w:pPr>
        <w:spacing w:after="0" w:line="360" w:lineRule="auto"/>
        <w:ind w:firstLine="480"/>
        <w:jc w:val="both"/>
        <w:rPr>
          <w:rFonts w:hint="eastAsia"/>
          <w:lang w:eastAsia="zh-CN"/>
        </w:rPr>
      </w:pPr>
      <w:r>
        <w:rPr>
          <w:lang w:eastAsia="zh-CN"/>
        </w:rPr>
        <w:t>验证过程中还发现，第10题“初次滥用药物时间”与第11(b)题“首次滥用年龄”在多药滥用者中并非完全等同。第10题更接近首次滥用任何药物的时间，第11(b)题则是每种主要滥用药物的首次滥用年龄，因此本次修订已将原“首次滥用年龄与初次滥用药物时间基本一致”调整为“首次滥用年龄逻辑合理”。</w:t>
      </w:r>
    </w:p>
    <w:p w14:paraId="514FD069">
      <w:pPr>
        <w:spacing w:after="0" w:line="360" w:lineRule="auto"/>
        <w:ind w:firstLine="480"/>
        <w:jc w:val="both"/>
        <w:rPr>
          <w:rFonts w:hint="eastAsia"/>
          <w:lang w:eastAsia="zh-CN"/>
        </w:rPr>
      </w:pPr>
      <w:r>
        <w:rPr>
          <w:lang w:eastAsia="zh-CN"/>
        </w:rPr>
        <w:t>后续建议结合基层报告单位反馈进一步优化评分细则。</w:t>
      </w:r>
    </w:p>
    <w:p w14:paraId="727052D4">
      <w:pPr>
        <w:spacing w:before="120" w:after="0" w:line="360" w:lineRule="auto"/>
        <w:jc w:val="both"/>
        <w:rPr>
          <w:rFonts w:hint="eastAsia"/>
          <w:lang w:eastAsia="zh-CN"/>
        </w:rPr>
      </w:pPr>
      <w:r>
        <w:rPr>
          <w:b/>
          <w:sz w:val="28"/>
          <w:lang w:eastAsia="zh-CN"/>
        </w:rPr>
        <w:t>十</w:t>
      </w:r>
      <w:r>
        <w:rPr>
          <w:rFonts w:hint="eastAsia"/>
          <w:b/>
          <w:sz w:val="28"/>
          <w:lang w:eastAsia="zh-CN"/>
        </w:rPr>
        <w:t>一</w:t>
      </w:r>
      <w:r>
        <w:rPr>
          <w:b/>
          <w:sz w:val="28"/>
          <w:lang w:eastAsia="zh-CN"/>
        </w:rPr>
        <w:t>、后续修订方向</w:t>
      </w:r>
    </w:p>
    <w:p w14:paraId="2865F9FD">
      <w:pPr>
        <w:spacing w:after="0" w:line="360" w:lineRule="auto"/>
        <w:ind w:firstLine="480"/>
        <w:jc w:val="both"/>
        <w:rPr>
          <w:rFonts w:hint="eastAsia"/>
          <w:lang w:eastAsia="zh-CN"/>
        </w:rPr>
      </w:pPr>
      <w:r>
        <w:rPr>
          <w:lang w:eastAsia="zh-CN"/>
        </w:rPr>
        <w:t>本标准为验证后修订稿，建议后续根据以下内容继续完善：</w:t>
      </w:r>
    </w:p>
    <w:p w14:paraId="3037AB90">
      <w:pPr>
        <w:spacing w:after="0" w:line="360" w:lineRule="auto"/>
        <w:ind w:firstLine="480"/>
        <w:jc w:val="both"/>
        <w:rPr>
          <w:rFonts w:hint="eastAsia"/>
          <w:lang w:eastAsia="zh-CN"/>
        </w:rPr>
      </w:pPr>
      <w:r>
        <w:rPr>
          <w:lang w:eastAsia="zh-CN"/>
        </w:rPr>
        <w:t>（一）专家咨询结果；</w:t>
      </w:r>
    </w:p>
    <w:p w14:paraId="6E097C7E">
      <w:pPr>
        <w:spacing w:after="0" w:line="360" w:lineRule="auto"/>
        <w:ind w:firstLine="480"/>
        <w:jc w:val="both"/>
        <w:rPr>
          <w:rFonts w:hint="eastAsia"/>
          <w:lang w:eastAsia="zh-CN"/>
        </w:rPr>
      </w:pPr>
      <w:r>
        <w:rPr>
          <w:lang w:eastAsia="zh-CN"/>
        </w:rPr>
        <w:t>（二）实际样本评分中发现的操作困难；</w:t>
      </w:r>
    </w:p>
    <w:p w14:paraId="5EE81DD0">
      <w:pPr>
        <w:spacing w:after="0" w:line="360" w:lineRule="auto"/>
        <w:ind w:firstLine="480"/>
        <w:jc w:val="both"/>
        <w:rPr>
          <w:rFonts w:hint="eastAsia"/>
          <w:lang w:eastAsia="zh-CN"/>
        </w:rPr>
      </w:pPr>
      <w:r>
        <w:rPr>
          <w:lang w:eastAsia="zh-CN"/>
        </w:rPr>
        <w:t>（三）不同评</w:t>
      </w:r>
      <w:r>
        <w:rPr>
          <w:rFonts w:hint="eastAsia"/>
          <w:lang w:eastAsia="zh-CN"/>
        </w:rPr>
        <w:t>估</w:t>
      </w:r>
      <w:r>
        <w:rPr>
          <w:lang w:eastAsia="zh-CN"/>
        </w:rPr>
        <w:t>人员评分一致性结果；</w:t>
      </w:r>
    </w:p>
    <w:p w14:paraId="4C339555">
      <w:pPr>
        <w:spacing w:after="0" w:line="360" w:lineRule="auto"/>
        <w:ind w:firstLine="480"/>
        <w:jc w:val="both"/>
        <w:rPr>
          <w:rFonts w:hint="eastAsia"/>
          <w:lang w:eastAsia="zh-CN"/>
        </w:rPr>
      </w:pPr>
      <w:r>
        <w:rPr>
          <w:lang w:eastAsia="zh-CN"/>
        </w:rPr>
        <w:t>（四）湖北省药品(医疗器械)不良反应监测中心对重点监测内容的管理要求；</w:t>
      </w:r>
    </w:p>
    <w:p w14:paraId="364C1491">
      <w:pPr>
        <w:spacing w:after="0" w:line="360" w:lineRule="auto"/>
        <w:ind w:firstLine="480"/>
        <w:jc w:val="both"/>
        <w:rPr>
          <w:rFonts w:hint="eastAsia"/>
          <w:lang w:eastAsia="zh-CN"/>
        </w:rPr>
      </w:pPr>
      <w:r>
        <w:rPr>
          <w:lang w:eastAsia="zh-CN"/>
        </w:rPr>
        <w:t>（五）</w:t>
      </w:r>
      <w:r>
        <w:rPr>
          <w:rFonts w:hint="eastAsia"/>
          <w:lang w:eastAsia="zh-CN"/>
        </w:rPr>
        <w:t>药用类和非药用类</w:t>
      </w:r>
      <w:r>
        <w:rPr>
          <w:lang w:eastAsia="zh-CN"/>
        </w:rPr>
        <w:t>麻醉药品精神药品以及未列管成瘾性药品和使人形成瘾癖的其他精神活性物质滥用形势变化；</w:t>
      </w:r>
    </w:p>
    <w:p w14:paraId="56CF7DFC">
      <w:pPr>
        <w:spacing w:after="0" w:line="360" w:lineRule="auto"/>
        <w:ind w:firstLine="480"/>
        <w:jc w:val="both"/>
        <w:rPr>
          <w:rFonts w:hint="eastAsia"/>
          <w:lang w:eastAsia="zh-CN"/>
        </w:rPr>
      </w:pPr>
      <w:r>
        <w:rPr>
          <w:lang w:eastAsia="zh-CN"/>
        </w:rPr>
        <w:t>（六）国家药物滥用监测电子上报系统字段设置、时间戳记录、数据导出格式和自动校验能力。</w:t>
      </w:r>
    </w:p>
    <w:p w14:paraId="1C9D46FA">
      <w:pPr>
        <w:spacing w:after="0" w:line="360" w:lineRule="auto"/>
        <w:ind w:firstLine="480"/>
        <w:jc w:val="both"/>
        <w:rPr>
          <w:rFonts w:hint="eastAsia"/>
          <w:lang w:eastAsia="zh-CN"/>
        </w:rPr>
      </w:pPr>
      <w:r>
        <w:rPr>
          <w:lang w:eastAsia="zh-CN"/>
        </w:rPr>
        <w:t>后续条件成熟时，可将本标准嵌入电子填报系统，逐步实现字段缺失提醒、逻辑错误自动提示、药物名称标准化校验、同一报告表多行记录自动聚合和质量评分自动生成，从而推动药物滥用监测报告表质量持续改进。</w:t>
      </w:r>
    </w:p>
    <w:p w14:paraId="487EF4C5">
      <w:pPr>
        <w:spacing w:before="120" w:after="0" w:line="360" w:lineRule="auto"/>
        <w:jc w:val="both"/>
        <w:rPr>
          <w:rFonts w:hint="eastAsia"/>
          <w:lang w:eastAsia="zh-CN"/>
        </w:rPr>
      </w:pPr>
      <w:r>
        <w:rPr>
          <w:b/>
          <w:sz w:val="28"/>
          <w:lang w:eastAsia="zh-CN"/>
        </w:rPr>
        <w:t>十</w:t>
      </w:r>
      <w:r>
        <w:rPr>
          <w:rFonts w:hint="eastAsia"/>
          <w:b/>
          <w:sz w:val="28"/>
          <w:lang w:eastAsia="zh-CN"/>
        </w:rPr>
        <w:t>二</w:t>
      </w:r>
      <w:r>
        <w:rPr>
          <w:b/>
          <w:sz w:val="28"/>
          <w:lang w:eastAsia="zh-CN"/>
        </w:rPr>
        <w:t>、结语</w:t>
      </w:r>
    </w:p>
    <w:p w14:paraId="71807EBD">
      <w:pPr>
        <w:spacing w:after="0" w:line="360" w:lineRule="auto"/>
        <w:ind w:firstLine="480"/>
        <w:jc w:val="both"/>
        <w:rPr>
          <w:rFonts w:hint="eastAsia"/>
          <w:lang w:eastAsia="zh-CN"/>
        </w:rPr>
      </w:pPr>
      <w:r>
        <w:rPr>
          <w:lang w:eastAsia="zh-CN"/>
        </w:rPr>
        <w:t>本标准基于《国家药物滥用监测报告表（2009版）》字段结构和填写要求，并结合900份监测数据试评分结果，建立了以有效性与唯一性为准入条件，以完整性、规范性、及时性为填报质量核心维度，以公共卫生价值为独立识别维度的药物滥用监测报告表质量评估方法。</w:t>
      </w:r>
    </w:p>
    <w:p w14:paraId="019A9FCD">
      <w:pPr>
        <w:spacing w:after="0" w:line="360" w:lineRule="auto"/>
        <w:ind w:firstLine="480"/>
        <w:jc w:val="both"/>
        <w:rPr>
          <w:rFonts w:hint="eastAsia"/>
          <w:lang w:eastAsia="zh-CN"/>
        </w:rPr>
      </w:pPr>
      <w:r>
        <w:rPr>
          <w:lang w:eastAsia="zh-CN"/>
        </w:rPr>
        <w:t>该标准具有较强的可操作性和管理应用价值，可用于报告表质量评估、报告单位反馈、填报培训、数据清理和监测数据质量持续改进。通过本标准的实施，有助于推动药物滥用监测工作从单纯重视报告数量，逐步转向数量、质量与公共卫生价值并重，更好地发挥监测数据在风险识别、趋势研判和公共卫生决策中的支撑作用。</w:t>
      </w:r>
    </w:p>
    <w:sectPr>
      <w:footerReference r:id="rId5" w:type="default"/>
      <w:pgSz w:w="11906" w:h="16838"/>
      <w:pgMar w:top="1417" w:right="1247" w:bottom="1247" w:left="136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3F76F">
    <w:pPr>
      <w:pStyle w:val="25"/>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94AB25">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94AB25">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C5D147"/>
    <w:multiLevelType w:val="singleLevel"/>
    <w:tmpl w:val="DDC5D147"/>
    <w:lvl w:ilvl="0" w:tentative="0">
      <w:start w:val="1"/>
      <w:numFmt w:val="decimal"/>
      <w:suff w:val="nothing"/>
      <w:lvlText w:val="%1、"/>
      <w:lvlJc w:val="left"/>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68D816DB"/>
    <w:multiLevelType w:val="singleLevel"/>
    <w:tmpl w:val="68D816DB"/>
    <w:lvl w:ilvl="0" w:tentative="0">
      <w:start w:val="1"/>
      <w:numFmt w:val="decimal"/>
      <w:suff w:val="nothing"/>
      <w:lvlText w:val="%1、"/>
      <w:lvlJc w:val="left"/>
    </w:lvl>
  </w:abstractNum>
  <w:abstractNum w:abstractNumId="8">
    <w:nsid w:val="729171F2"/>
    <w:multiLevelType w:val="singleLevel"/>
    <w:tmpl w:val="729171F2"/>
    <w:lvl w:ilvl="0" w:tentative="0">
      <w:start w:val="2"/>
      <w:numFmt w:val="decimal"/>
      <w:suff w:val="nothing"/>
      <w:lvlText w:val="%1、"/>
      <w:lvlJc w:val="left"/>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revisionView w:markup="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356D6"/>
    <w:rsid w:val="00057308"/>
    <w:rsid w:val="0006063C"/>
    <w:rsid w:val="00065FC9"/>
    <w:rsid w:val="00073F74"/>
    <w:rsid w:val="00096BC4"/>
    <w:rsid w:val="000A41C1"/>
    <w:rsid w:val="000C148F"/>
    <w:rsid w:val="0010774C"/>
    <w:rsid w:val="0011780B"/>
    <w:rsid w:val="0015074B"/>
    <w:rsid w:val="001552E8"/>
    <w:rsid w:val="00157CBB"/>
    <w:rsid w:val="001E26C4"/>
    <w:rsid w:val="001F5B35"/>
    <w:rsid w:val="0029639D"/>
    <w:rsid w:val="002B74EA"/>
    <w:rsid w:val="002C7EE3"/>
    <w:rsid w:val="002F6DFD"/>
    <w:rsid w:val="00326F90"/>
    <w:rsid w:val="0036221E"/>
    <w:rsid w:val="003A7C7E"/>
    <w:rsid w:val="003E4B9C"/>
    <w:rsid w:val="004500A6"/>
    <w:rsid w:val="00460419"/>
    <w:rsid w:val="00477595"/>
    <w:rsid w:val="004A1DD4"/>
    <w:rsid w:val="004B6FEE"/>
    <w:rsid w:val="00587173"/>
    <w:rsid w:val="005A66D7"/>
    <w:rsid w:val="005D5C01"/>
    <w:rsid w:val="00644B87"/>
    <w:rsid w:val="00656105"/>
    <w:rsid w:val="006C7CDA"/>
    <w:rsid w:val="006D608C"/>
    <w:rsid w:val="006F4146"/>
    <w:rsid w:val="006F7476"/>
    <w:rsid w:val="0076082D"/>
    <w:rsid w:val="007932B0"/>
    <w:rsid w:val="008068B4"/>
    <w:rsid w:val="008155D6"/>
    <w:rsid w:val="00816A22"/>
    <w:rsid w:val="008338B0"/>
    <w:rsid w:val="00865C02"/>
    <w:rsid w:val="00A27081"/>
    <w:rsid w:val="00A6562F"/>
    <w:rsid w:val="00AA1D8D"/>
    <w:rsid w:val="00AA5F38"/>
    <w:rsid w:val="00AC3EB6"/>
    <w:rsid w:val="00B35891"/>
    <w:rsid w:val="00B41C86"/>
    <w:rsid w:val="00B47730"/>
    <w:rsid w:val="00BD7797"/>
    <w:rsid w:val="00BE5177"/>
    <w:rsid w:val="00C3750B"/>
    <w:rsid w:val="00C66252"/>
    <w:rsid w:val="00CB0664"/>
    <w:rsid w:val="00CB55B9"/>
    <w:rsid w:val="00D5278B"/>
    <w:rsid w:val="00DB59AF"/>
    <w:rsid w:val="00DD59B6"/>
    <w:rsid w:val="00E43E28"/>
    <w:rsid w:val="00E46E90"/>
    <w:rsid w:val="00E6303C"/>
    <w:rsid w:val="00F135DB"/>
    <w:rsid w:val="00F60748"/>
    <w:rsid w:val="00F84F07"/>
    <w:rsid w:val="00FC693F"/>
    <w:rsid w:val="00FD760C"/>
    <w:rsid w:val="03767EB5"/>
    <w:rsid w:val="06C76088"/>
    <w:rsid w:val="14E54E9B"/>
    <w:rsid w:val="15C004F5"/>
    <w:rsid w:val="19281113"/>
    <w:rsid w:val="1BE614F8"/>
    <w:rsid w:val="1C5B1EE6"/>
    <w:rsid w:val="229121BE"/>
    <w:rsid w:val="24F20F0E"/>
    <w:rsid w:val="252157F8"/>
    <w:rsid w:val="285A12A4"/>
    <w:rsid w:val="2C4402A1"/>
    <w:rsid w:val="37EE1BFC"/>
    <w:rsid w:val="38363CC7"/>
    <w:rsid w:val="3C4B742A"/>
    <w:rsid w:val="3DAF6556"/>
    <w:rsid w:val="4F3767B4"/>
    <w:rsid w:val="56701167"/>
    <w:rsid w:val="5B482651"/>
    <w:rsid w:val="61442516"/>
    <w:rsid w:val="654E394E"/>
    <w:rsid w:val="69366FFA"/>
    <w:rsid w:val="72F71196"/>
    <w:rsid w:val="74F3598D"/>
    <w:rsid w:val="76EB8659"/>
    <w:rsid w:val="78345783"/>
    <w:rsid w:val="7A4647B1"/>
    <w:rsid w:val="7EDA4C25"/>
    <w:rsid w:val="7F7743C9"/>
    <w:rsid w:val="7FCA0D9A"/>
    <w:rsid w:val="7FFD46CB"/>
    <w:rsid w:val="8D3EC2BB"/>
    <w:rsid w:val="D7FB069C"/>
    <w:rsid w:val="DFFF271B"/>
    <w:rsid w:val="E75EE0AE"/>
    <w:rsid w:val="F6DD3F8A"/>
    <w:rsid w:val="FE77B1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style>
  <w:style w:type="paragraph" w:styleId="18">
    <w:name w:val="Body Text 3"/>
    <w:basedOn w:val="1"/>
    <w:link w:val="148"/>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6"/>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annotation reference"/>
    <w:basedOn w:val="133"/>
    <w:semiHidden/>
    <w:unhideWhenUsed/>
    <w:qFormat/>
    <w:uiPriority w:val="99"/>
    <w:rPr>
      <w:sz w:val="21"/>
      <w:szCs w:val="21"/>
    </w:rPr>
  </w:style>
  <w:style w:type="character" w:customStyle="1" w:styleId="137">
    <w:name w:val="页眉 字符"/>
    <w:basedOn w:val="133"/>
    <w:link w:val="26"/>
    <w:qFormat/>
    <w:uiPriority w:val="99"/>
  </w:style>
  <w:style w:type="character" w:customStyle="1" w:styleId="138">
    <w:name w:val="页脚 字符"/>
    <w:basedOn w:val="133"/>
    <w:link w:val="25"/>
    <w:qFormat/>
    <w:uiPriority w:val="99"/>
  </w:style>
  <w:style w:type="paragraph" w:styleId="139">
    <w:name w:val="No Spacing"/>
    <w:qFormat/>
    <w:uiPriority w:val="1"/>
    <w:rPr>
      <w:rFonts w:asciiTheme="minorHAnsi" w:hAnsiTheme="minorHAnsi" w:eastAsiaTheme="minorEastAsia" w:cstheme="minorBidi"/>
      <w:sz w:val="22"/>
      <w:szCs w:val="22"/>
      <w:lang w:val="en-US" w:eastAsia="en-US" w:bidi="ar-SA"/>
    </w:rPr>
  </w:style>
  <w:style w:type="character" w:customStyle="1" w:styleId="140">
    <w:name w:val="标题 1 字符"/>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标题 2 字符"/>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标题 3 字符"/>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标题 字符"/>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副标题 字符"/>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正文文本 字符"/>
    <w:basedOn w:val="133"/>
    <w:link w:val="20"/>
    <w:qFormat/>
    <w:uiPriority w:val="99"/>
  </w:style>
  <w:style w:type="character" w:customStyle="1" w:styleId="147">
    <w:name w:val="正文文本 2 字符"/>
    <w:basedOn w:val="133"/>
    <w:link w:val="29"/>
    <w:qFormat/>
    <w:uiPriority w:val="99"/>
  </w:style>
  <w:style w:type="character" w:customStyle="1" w:styleId="148">
    <w:name w:val="正文文本 3 字符"/>
    <w:basedOn w:val="133"/>
    <w:link w:val="18"/>
    <w:qFormat/>
    <w:uiPriority w:val="99"/>
    <w:rPr>
      <w:sz w:val="16"/>
      <w:szCs w:val="16"/>
    </w:rPr>
  </w:style>
  <w:style w:type="character" w:customStyle="1" w:styleId="149">
    <w:name w:val="宏文本 字符"/>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引用 字符"/>
    <w:basedOn w:val="133"/>
    <w:link w:val="150"/>
    <w:qFormat/>
    <w:uiPriority w:val="29"/>
    <w:rPr>
      <w:i/>
      <w:iCs/>
      <w:color w:val="000000" w:themeColor="text1"/>
      <w14:textFill>
        <w14:solidFill>
          <w14:schemeClr w14:val="tx1"/>
        </w14:solidFill>
      </w14:textFill>
    </w:rPr>
  </w:style>
  <w:style w:type="character" w:customStyle="1" w:styleId="152">
    <w:name w:val="标题 4 字符"/>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标题 5 字符"/>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标题 6 字符"/>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标题 7 字符"/>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标题 8 字符"/>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标题 9 字符"/>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明显引用 字符"/>
    <w:basedOn w:val="133"/>
    <w:link w:val="158"/>
    <w:qFormat/>
    <w:uiPriority w:val="30"/>
    <w:rPr>
      <w:b/>
      <w:bCs/>
      <w:i/>
      <w:iCs/>
      <w:color w:val="4F81BD" w:themeColor="accent1"/>
      <w14:textFill>
        <w14:solidFill>
          <w14:schemeClr w14:val="accent1"/>
        </w14:solidFill>
      </w14:textFill>
    </w:rPr>
  </w:style>
  <w:style w:type="character" w:customStyle="1" w:styleId="160">
    <w:name w:val="不明显强调1"/>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明显强调1"/>
    <w:basedOn w:val="133"/>
    <w:qFormat/>
    <w:uiPriority w:val="21"/>
    <w:rPr>
      <w:b/>
      <w:bCs/>
      <w:i/>
      <w:iCs/>
      <w:color w:val="4F81BD" w:themeColor="accent1"/>
      <w14:textFill>
        <w14:solidFill>
          <w14:schemeClr w14:val="accent1"/>
        </w14:solidFill>
      </w14:textFill>
    </w:rPr>
  </w:style>
  <w:style w:type="character" w:customStyle="1" w:styleId="162">
    <w:name w:val="不明显参考1"/>
    <w:basedOn w:val="133"/>
    <w:qFormat/>
    <w:uiPriority w:val="31"/>
    <w:rPr>
      <w:smallCaps/>
      <w:color w:val="C0504D" w:themeColor="accent2"/>
      <w:u w:val="single"/>
      <w14:textFill>
        <w14:solidFill>
          <w14:schemeClr w14:val="accent2"/>
        </w14:solidFill>
      </w14:textFill>
    </w:rPr>
  </w:style>
  <w:style w:type="character" w:customStyle="1" w:styleId="163">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书籍标题1"/>
    <w:basedOn w:val="133"/>
    <w:qFormat/>
    <w:uiPriority w:val="33"/>
    <w:rPr>
      <w:b/>
      <w:bCs/>
      <w:smallCaps/>
      <w:spacing w:val="5"/>
    </w:rPr>
  </w:style>
  <w:style w:type="paragraph" w:customStyle="1" w:styleId="165">
    <w:name w:val="TOC 标题1"/>
    <w:basedOn w:val="3"/>
    <w:next w:val="1"/>
    <w:semiHidden/>
    <w:unhideWhenUsed/>
    <w:qFormat/>
    <w:uiPriority w:val="39"/>
    <w:pPr>
      <w:outlineLvl w:val="9"/>
    </w:pPr>
  </w:style>
  <w:style w:type="paragraph" w:customStyle="1" w:styleId="166">
    <w:name w:val="修订1"/>
    <w:hidden/>
    <w:unhideWhenUsed/>
    <w:qFormat/>
    <w:uiPriority w:val="99"/>
    <w:rPr>
      <w:rFonts w:ascii="宋体" w:hAnsi="宋体" w:eastAsia="宋体" w:cstheme="minorBidi"/>
      <w:sz w:val="24"/>
      <w:szCs w:val="22"/>
      <w:lang w:val="en-US" w:eastAsia="en-US" w:bidi="ar-SA"/>
    </w:rPr>
  </w:style>
  <w:style w:type="paragraph" w:customStyle="1" w:styleId="167">
    <w:name w:val="Revision"/>
    <w:hidden/>
    <w:unhideWhenUsed/>
    <w:qFormat/>
    <w:uiPriority w:val="99"/>
    <w:rPr>
      <w:rFonts w:ascii="宋体" w:hAnsi="宋体" w:eastAsia="宋体"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4947</Words>
  <Characters>5050</Characters>
  <Lines>78</Lines>
  <Paragraphs>22</Paragraphs>
  <TotalTime>7</TotalTime>
  <ScaleCrop>false</ScaleCrop>
  <LinksUpToDate>false</LinksUpToDate>
  <CharactersWithSpaces>5118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2026-09-07T16:03:00Z</dcterms:created>
  <dc:creator>python-docx</dc:creator>
  <dc:description>generated by python-docx</dc:description>
  <cp:lastModifiedBy>天蓝&amp;海蓝</cp:lastModifiedBy>
  <cp:lastPrinted>2026-09-09T16:23:00Z</cp:lastPrinted>
  <dcterms:modified xsi:type="dcterms:W3CDTF">2026-10-20T01:34:28Z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CC0112B5BF7E4480A2CFCDF10A76EF86_13</vt:lpwstr>
  </property>
  <property fmtid="{D5CDD505-2E9C-101B-9397-08002B2CF9AE}" pid="4" name="KSOTemplateDocerSaveRecord">
    <vt:lpwstr>eyJoZGlkIjoiMjM2Y2JjZjFjMjliMjkyMDFhODg5OThmNjJjMzU3MGMiLCJ1c2VySWQiOiIxMzkwMjMwNTI0In0=</vt:lpwstr>
  </property>
</Properties>
</file>